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Ai componenti della Commissione </w:t>
      </w:r>
    </w:p>
    <w:p w:rsidR="00000000" w:rsidDel="00000000" w:rsidP="00000000" w:rsidRDefault="00000000" w:rsidRPr="00000000" w14:paraId="0000000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DECRETO DI NOMINA COMMISSIONE DI VALUTAZIONE 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Avv. Prot. ……… del …………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M4C1I3.2-2022-961-P-………..      CUP 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DRIGENTE SCOLASTICO</w:t>
      </w:r>
    </w:p>
    <w:tbl>
      <w:tblPr>
        <w:tblStyle w:val="Table1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18"/>
        <w:gridCol w:w="8363"/>
        <w:tblGridChange w:id="0">
          <w:tblGrid>
            <w:gridCol w:w="1418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l’Allegato n. 1 al Decreto  di  Riparto delle risorse alle istituzioni scolastiche sopra richiamato che vede l’Istituto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…………..” di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destinatario delle risorse pari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€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…………….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missione per il PNRR prot. AOOGABMI reg.uff. 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00……….del 17/3/2023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Programma Annuale per l’esercizio finanziario 2023 approvato con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delibera n° …… del ……..;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del Consiglio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d’Istituto n. …. del …….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 la quale è stata  approvata la griglia dei criteri per la selezione dei candidati per l’affidamento degli incarichi             interni del gruppo operativo di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di approvazione e attuazione del progetto da parte del Collegio Docenti del …………..  n……… e del Consiglio di Istituto del …………  delibera n. 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assunzione in bilancio del progetto PNRR Piano “Scuola 4.0” – Azione 1 Next </w:t>
            </w:r>
          </w:p>
          <w:p w:rsidR="00000000" w:rsidDel="00000000" w:rsidP="00000000" w:rsidRDefault="00000000" w:rsidRPr="00000000" w14:paraId="0000005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Generation Class  – D.M. n. 218/2022 – Codice identificativo del progetto: </w:t>
            </w:r>
          </w:p>
          <w:p w:rsidR="00000000" w:rsidDel="00000000" w:rsidP="00000000" w:rsidRDefault="00000000" w:rsidRPr="00000000" w14:paraId="00000054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M4C1I3.2-2022-961-P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-………..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CUP: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……….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nell’aggregato A03………  prot………. </w:t>
            </w:r>
          </w:p>
          <w:p w:rsidR="00000000" w:rsidDel="00000000" w:rsidP="00000000" w:rsidRDefault="00000000" w:rsidRPr="00000000" w14:paraId="0000005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del 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l’Avviso di selezione prot. n.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………. pubblicato dall’Istituzione Scolastica in data ……….., </w:t>
            </w:r>
          </w:p>
          <w:p w:rsidR="00000000" w:rsidDel="00000000" w:rsidP="00000000" w:rsidRDefault="00000000" w:rsidRPr="00000000" w14:paraId="0000005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che fissava alle ore ……… del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…………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scadenza prevista dall’Avviso per la presentazione delle </w:t>
            </w:r>
          </w:p>
          <w:p w:rsidR="00000000" w:rsidDel="00000000" w:rsidP="00000000" w:rsidRDefault="00000000" w:rsidRPr="00000000" w14:paraId="0000005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manifestazioni di interesse, sono pervenute 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.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candidature da parte del personale </w:t>
            </w:r>
          </w:p>
          <w:p w:rsidR="00000000" w:rsidDel="00000000" w:rsidP="00000000" w:rsidRDefault="00000000" w:rsidRPr="00000000" w14:paraId="0000005C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occorre procedere alla valutazione delle candidature pervenute, sulla base dei criteri di </w:t>
            </w:r>
          </w:p>
          <w:p w:rsidR="00000000" w:rsidDel="00000000" w:rsidP="00000000" w:rsidRDefault="00000000" w:rsidRPr="00000000" w14:paraId="0000005F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valutazione inseriti nell’Avviso, al fine di individuare i candidati idonei allo svolgimento </w:t>
            </w:r>
          </w:p>
          <w:p w:rsidR="00000000" w:rsidDel="00000000" w:rsidP="00000000" w:rsidRDefault="00000000" w:rsidRPr="00000000" w14:paraId="00000060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la Commissione deve garantire nel suo complesso il possesso delle conoscenze </w:t>
            </w:r>
          </w:p>
          <w:p w:rsidR="00000000" w:rsidDel="00000000" w:rsidP="00000000" w:rsidRDefault="00000000" w:rsidRPr="00000000" w14:paraId="0000006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occorrenti al fine di svolgere l’incarico;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Ritenuto </w:t>
            </w:r>
          </w:p>
          <w:p w:rsidR="00000000" w:rsidDel="00000000" w:rsidP="00000000" w:rsidRDefault="00000000" w:rsidRPr="00000000" w14:paraId="00000065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altresì, di dover nominare come componenti della suddetta Commissione 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Prof. ……………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(Presidente),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Sig.ra ………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(Componente)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  Sig. …………..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(Componente) anche in qualità </w:t>
            </w:r>
          </w:p>
          <w:p w:rsidR="00000000" w:rsidDel="00000000" w:rsidP="00000000" w:rsidRDefault="00000000" w:rsidRPr="00000000" w14:paraId="0000006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 segretario verbalizzante, i quali posseggono i necessari requisiti;</w:t>
            </w:r>
          </w:p>
        </w:tc>
      </w:tr>
    </w:tbl>
    <w:p w:rsidR="00000000" w:rsidDel="00000000" w:rsidP="00000000" w:rsidRDefault="00000000" w:rsidRPr="00000000" w14:paraId="00000069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nell’osservanza delle disposizioni di cui alla legge 6 novembre 2012, n. 190, recante «</w:t>
      </w:r>
      <w:r w:rsidDel="00000000" w:rsidR="00000000" w:rsidRPr="00000000">
        <w:rPr>
          <w:i w:val="1"/>
          <w:rtl w:val="0"/>
        </w:rPr>
        <w:t xml:space="preserve">Disposizioni per la prevenzione e la repressione della corruzione e dell’illegalità della Pubblica Amministrazione</w:t>
      </w:r>
      <w:r w:rsidDel="00000000" w:rsidR="00000000" w:rsidRPr="00000000">
        <w:rPr>
          <w:rtl w:val="0"/>
        </w:rPr>
        <w:t xml:space="preserve">»,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motivi espressi nella premessa, che si intendono integralmente richiamati:</w:t>
      </w:r>
    </w:p>
    <w:p w:rsidR="00000000" w:rsidDel="00000000" w:rsidP="00000000" w:rsidRDefault="00000000" w:rsidRPr="00000000" w14:paraId="0000006C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1 </w:t>
      </w:r>
    </w:p>
    <w:p w:rsidR="00000000" w:rsidDel="00000000" w:rsidP="00000000" w:rsidRDefault="00000000" w:rsidRPr="00000000" w14:paraId="0000006D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Costituzione della Commissione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nominata, ai sensi dell’Avviso di selezione,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prot. n…….. del ……….,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Commissione ai fini della valutazione delle domande di partecipazione pervenute. La Commissione è costituita come segue:</w:t>
      </w:r>
    </w:p>
    <w:tbl>
      <w:tblPr>
        <w:tblStyle w:val="Table2"/>
        <w:tblW w:w="867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2"/>
        <w:gridCol w:w="6831"/>
        <w:tblGridChange w:id="0">
          <w:tblGrid>
            <w:gridCol w:w="1842"/>
            <w:gridCol w:w="6831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color w:val="000000"/>
                <w:highlight w:val="cy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Componente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Componente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funzioni di Segretario della Commissione sono svolte da uno dei componenti della Commissione, Sig. ………………..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lavori della Commissione sono a titolo gratuito e, pertanto, ai componenti non spettano compensi/emolumenti/indennità/rimborsi spese.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acquisite agli atti le dichiarazioni circa l’insussistenza di situazioni di incompatibilità e/o conflitto di interessi dei singoli commissari. </w:t>
      </w:r>
    </w:p>
    <w:p w:rsidR="00000000" w:rsidDel="00000000" w:rsidP="00000000" w:rsidRDefault="00000000" w:rsidRPr="00000000" w14:paraId="00000078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Articolo 2</w:t>
      </w:r>
    </w:p>
    <w:p w:rsidR="00000000" w:rsidDel="00000000" w:rsidP="00000000" w:rsidRDefault="00000000" w:rsidRPr="00000000" w14:paraId="00000079">
      <w:pPr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b w:val="1"/>
          <w:i w:val="1"/>
          <w:rtl w:val="0"/>
        </w:rPr>
        <w:t xml:space="preserve">Modalità di funzionamento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Commissione di cui all’articolo 1 del presente Decreto esamina le domande di partecipazione utilmente pervenute e i relativi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conformemente alle previsioni di cui all’Avviso in premessa.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All’esito della seduta per la valutazione delle candidature, la Commissione istituita con il presente Decreto redigerà apposito verbale con relativa graduatoria.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</w:p>
    <w:tbl>
      <w:tblPr>
        <w:tblStyle w:val="Table3"/>
        <w:tblW w:w="4395.0" w:type="dxa"/>
        <w:jc w:val="left"/>
        <w:tblInd w:w="48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95"/>
        <w:tblGridChange w:id="0">
          <w:tblGrid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IL DIRIGENTE SCOLASTICO</w:t>
            </w:r>
          </w:p>
          <w:p w:rsidR="00000000" w:rsidDel="00000000" w:rsidP="00000000" w:rsidRDefault="00000000" w:rsidRPr="00000000" w14:paraId="0000007E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……………………</w:t>
            </w:r>
          </w:p>
          <w:p w:rsidR="00000000" w:rsidDel="00000000" w:rsidP="00000000" w:rsidRDefault="00000000" w:rsidRPr="00000000" w14:paraId="0000007F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firmato digitalmente)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ind w:right="14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5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88" w:hanging="359.9999999999999"/>
      </w:pPr>
      <w:rPr/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88" w:hanging="359.9999999999999"/>
      </w:pPr>
      <w:rPr/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d8O+X9/KHOiuopNvTaQWQ2Zfg==">CgMxLjAyCGguZ2pkZ3hzOAByITFZSmNUbVN1UU0wQXFyVTFkOERkUDl1a1VRWkNJYS1BTg==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2023-04-26T09:58:00Z</dcterms:created>
</cp:coreProperties>
</file>