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Ai componenti della Commissione </w:t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DECRETO DI NOMINA COMMISSIONE DI VALUTAZIONE 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Avv. Prot. ……… del …………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M4C1I3.2-2022-961-P-………..      CUP ………………..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</w:p>
    <w:tbl>
      <w:tblPr>
        <w:tblStyle w:val="Table1"/>
        <w:tblW w:w="979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755"/>
        <w:gridCol w:w="8040"/>
        <w:tblGridChange w:id="0">
          <w:tblGrid>
            <w:gridCol w:w="1755"/>
            <w:gridCol w:w="8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l’Allegato n. 2 al Decreto  di  Riparto delle risorse alle istituzioni scolastiche sopra richiamato che vede l’Istituto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…………..” di ………..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destinatario delle risorse pari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sz w:val="22"/>
                    <w:szCs w:val="22"/>
                    <w:rtl w:val="0"/>
                  </w:rPr>
                  <w:t xml:space="preserve">a € 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highlight w:val="yellow"/>
                <w:rtl w:val="0"/>
              </w:rPr>
              <w:t xml:space="preserve">…………….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missione per il PNRR prot. AOOGABMI reg.uff. U.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00……….del 17/3/2023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che 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Programma Annuale per l’esercizio finanziario 2023 approvato con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delibera n° …… del ……..;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del Consiglio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d’Istituto n. …. del …….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con la quale è stata  approvata la griglia dei criteri per la selezione dei candidati per l’affidamento degli incarichi interni del gruppo operativo di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di approvazione e attuazione del progetto da parte del Collegio Docenti del …………..  n……… e del Consiglio di Istituto del …………  delibera n. 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assunzione in bilancio del progetto PNRR Piano “Scuola 4.0” – Azione 2 Next Generation Labs  – D.M. n. 218/2022 – Codice identificativo del progetto: </w:t>
            </w:r>
          </w:p>
          <w:p w:rsidR="00000000" w:rsidDel="00000000" w:rsidP="00000000" w:rsidRDefault="00000000" w:rsidRPr="00000000" w14:paraId="00000051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M4C1I3.2-2022-961-P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highlight w:val="yellow"/>
                <w:rtl w:val="0"/>
              </w:rPr>
              <w:t xml:space="preserve">-……….. 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CUP: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highlight w:val="yellow"/>
                <w:rtl w:val="0"/>
              </w:rPr>
              <w:t xml:space="preserve">……….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nell’aggregato A03………  prot……….  del 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l’Avviso di selezione prot. n.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………. pubblicato dall’Istituzione Scolastica in data ……….., che fissava alle ore ……… del ………..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highlight w:val="yellow"/>
                <w:rtl w:val="0"/>
              </w:rPr>
              <w:t xml:space="preserve">…………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,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scadenza prevista dall’Avviso per la presentazione delle manifestazioni di interesse, sono pervenute 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highlight w:val="yellow"/>
                <w:rtl w:val="0"/>
              </w:rPr>
              <w:t xml:space="preserve">. ………..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candidature da parte del personale 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occorre procedere alla valutazione delle candidature pervenute, sulla base dei criteri di valutazione inseriti nell’Avviso, al fine di individuare i candidati idonei allo svolgimento </w:t>
            </w:r>
          </w:p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la Commissione deve garantire nel suo complesso il possesso delle conoscenze tecniche occorrenti al fine di svolgere l’incarico;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Ritenuto </w:t>
            </w:r>
          </w:p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altresì, di dover nominare come componenti della suddetta Commissione il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 Prof. ……………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(Presidente),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la Sig.ra ………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(Componente)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 e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l  Sig. …………..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(Componente) anche in qualità di segretario verbalizzante, i quali posseggono i necessari requisiti;</w:t>
            </w:r>
          </w:p>
        </w:tc>
      </w:tr>
    </w:tbl>
    <w:p w:rsidR="00000000" w:rsidDel="00000000" w:rsidP="00000000" w:rsidRDefault="00000000" w:rsidRPr="00000000" w14:paraId="0000005E">
      <w:pPr>
        <w:spacing w:after="120" w:before="120" w:line="276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nell’osservanza delle disposizioni di cui alla legge 6 novembre 2012, n. 190, recante «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Disposizioni per la prevenzione e la repressione della corruzione e dell’illegalità della Pubblica Amministrazione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»,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 motivi espressi nella premessa, che si intendono integralmente richiamati:</w:t>
      </w:r>
    </w:p>
    <w:p w:rsidR="00000000" w:rsidDel="00000000" w:rsidP="00000000" w:rsidRDefault="00000000" w:rsidRPr="00000000" w14:paraId="00000061">
      <w:pPr>
        <w:spacing w:after="120" w:before="12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Art. 1 </w:t>
      </w:r>
    </w:p>
    <w:p w:rsidR="00000000" w:rsidDel="00000000" w:rsidP="00000000" w:rsidRDefault="00000000" w:rsidRPr="00000000" w14:paraId="00000062">
      <w:pPr>
        <w:spacing w:after="120" w:before="12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Costituzione della Commissione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nominata, ai sensi dell’Avviso di selezione, 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prot. n…….. del ……….,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Commissione ai fini della valutazione delle domande di partecipazione pervenute. La Commissione è costituita come segue:</w:t>
      </w:r>
    </w:p>
    <w:tbl>
      <w:tblPr>
        <w:tblStyle w:val="Table2"/>
        <w:tblW w:w="86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6555"/>
        <w:tblGridChange w:id="0">
          <w:tblGrid>
            <w:gridCol w:w="2115"/>
            <w:gridCol w:w="655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color w:val="000000"/>
                <w:highlight w:val="cyan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Componente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b w:val="1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Componente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</w:tabs>
              <w:spacing w:after="120" w:before="120" w:lineRule="auto"/>
              <w:ind w:right="283"/>
              <w:jc w:val="both"/>
              <w:rPr>
                <w:rFonts w:ascii="Helvetica Neue" w:cs="Helvetica Neue" w:eastAsia="Helvetica Neue" w:hAnsi="Helvetica Neue"/>
                <w:color w:val="00000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funzioni di Segretario della Commissione sono svolte da uno dei componenti della Commissione, Sig. ………………..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lavori della Commissione sono a titolo gratuito e, pertanto, ai componenti non spettano compensi/emolumenti/indennità/rimborsi spese.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acquisite agli atti le dichiarazioni circa l’insussistenza di situazioni di incompatibilità e/o conflitto di interessi dei singoli commissari. </w:t>
      </w:r>
    </w:p>
    <w:p w:rsidR="00000000" w:rsidDel="00000000" w:rsidP="00000000" w:rsidRDefault="00000000" w:rsidRPr="00000000" w14:paraId="0000006D">
      <w:pPr>
        <w:spacing w:after="120" w:before="12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Articolo 2</w:t>
      </w:r>
    </w:p>
    <w:p w:rsidR="00000000" w:rsidDel="00000000" w:rsidP="00000000" w:rsidRDefault="00000000" w:rsidRPr="00000000" w14:paraId="0000006E">
      <w:pPr>
        <w:spacing w:after="120" w:before="12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rtl w:val="0"/>
        </w:rPr>
        <w:t xml:space="preserve">Modalità di funzionamento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)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Commissione di cui all’articolo 1 del presente Decreto esamina le domande di partecipazione utilmente pervenute e i relativi </w:t>
      </w:r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curricula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conformemente alle previsioni di cui all’Avviso in premessa.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All’esito della seduta per la valutazione delle candidature, la Commissione istituita con il presente Decreto redigerà apposito verbale con relativa graduatoria.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284" w:right="0" w:hanging="284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</w:p>
    <w:tbl>
      <w:tblPr>
        <w:tblStyle w:val="Table3"/>
        <w:tblW w:w="4395.0" w:type="dxa"/>
        <w:jc w:val="left"/>
        <w:tblInd w:w="48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95"/>
        <w:tblGridChange w:id="0">
          <w:tblGrid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             IL DIRIGENTE SCOLASTICO</w:t>
            </w:r>
          </w:p>
          <w:p w:rsidR="00000000" w:rsidDel="00000000" w:rsidP="00000000" w:rsidRDefault="00000000" w:rsidRPr="00000000" w14:paraId="00000073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                  ……………………</w:t>
            </w:r>
          </w:p>
          <w:p w:rsidR="00000000" w:rsidDel="00000000" w:rsidP="00000000" w:rsidRDefault="00000000" w:rsidRPr="00000000" w14:paraId="00000074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                    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firmato digitalmente)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88" w:hanging="359.9999999999999"/>
      </w:pPr>
      <w:rPr/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88" w:hanging="359.9999999999999"/>
      </w:pPr>
      <w:rPr/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uiPriority w:val="5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l7kV7Nk38ccBT2qgToK143wSw==">AMUW2mXd1manbjrGfnIFzUN/xtTT61DcrjxlPVyNfbEJFLyw5MNN8Tzc9ZpVaADFIbpnditM53gq7CAj+kS7dDkRN3mUHimnKVqX0oPvj79eFx8SW11NypNOv8p/l6zAoqpG+m672mv8f+zo668uFy/ivBHlJaX4BwM3iLtGpYE5OqwjumIC5yo=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2023-04-26T09:58:00Z</dcterms:created>
</cp:coreProperties>
</file>