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DECRETO DI PUBBLICAZIONE GRADUATORIA DEFINITIVA VALUTAZIONE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Avv. Prot. …….. del ………….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M4C1I3.2-2022-961-P-……..      CUP 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DRIGENTE SCOLASTICO</w:t>
      </w:r>
    </w:p>
    <w:tbl>
      <w:tblPr>
        <w:tblStyle w:val="Table1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18"/>
        <w:gridCol w:w="8363"/>
        <w:tblGridChange w:id="0">
          <w:tblGrid>
            <w:gridCol w:w="1418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l’Allegato n. 1 al Decreto  di  Riparto delle risorse alle istituzioni scolastiche sopra richiamato che vede l’Istituto …….” di …….. destinatario delle risorse pari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€ 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missione per il PNRR prot. AOOGABMI reg.uff. U.00…… del ……… che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Programma Annuale per l’esercizio finanziario 2023 approvato con delibera n° …… del 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del Consiglio d’Istituto n. …….. del ……….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di approvazione e attuazione del progetto da parte del Collegio Docenti del ……….  n. ……… e del Consiglio di Istituto del ………  delibera n……..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assunzione in bilancio del progetto PNRR Piano “Scuola 4.0” – Azione 1 Next </w:t>
            </w:r>
          </w:p>
          <w:p w:rsidR="00000000" w:rsidDel="00000000" w:rsidP="00000000" w:rsidRDefault="00000000" w:rsidRPr="00000000" w14:paraId="0000005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Generation Class  – D.M. n. 218/2022 – Codice identificativo del progetto: </w:t>
            </w:r>
          </w:p>
          <w:p w:rsidR="00000000" w:rsidDel="00000000" w:rsidP="00000000" w:rsidRDefault="00000000" w:rsidRPr="00000000" w14:paraId="00000054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M4C1I3.2-2022-961-P-1…….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………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nell’aggregato A03……  prot……. </w:t>
            </w:r>
          </w:p>
          <w:p w:rsidR="00000000" w:rsidDel="00000000" w:rsidP="00000000" w:rsidRDefault="00000000" w:rsidRPr="00000000" w14:paraId="0000005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 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l’Avviso di selezione prot. n. ……, pubblicato dall’Istituzione Scolastica in data ….3, </w:t>
            </w:r>
          </w:p>
          <w:p w:rsidR="00000000" w:rsidDel="00000000" w:rsidP="00000000" w:rsidRDefault="00000000" w:rsidRPr="00000000" w14:paraId="0000005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fissava alle ore …….. del ……..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scadenza prevista dall’Avviso per la presentazione delle </w:t>
            </w:r>
          </w:p>
          <w:p w:rsidR="00000000" w:rsidDel="00000000" w:rsidP="00000000" w:rsidRDefault="00000000" w:rsidRPr="00000000" w14:paraId="0000005B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manifestazioni di interesse, sono pervenute n. ……….. candidature da parte del personale </w:t>
            </w:r>
          </w:p>
          <w:p w:rsidR="00000000" w:rsidDel="00000000" w:rsidP="00000000" w:rsidRDefault="00000000" w:rsidRPr="00000000" w14:paraId="0000005C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occorre procedere alla valutazione delle candidature pervenute, sulla base dei criteri di </w:t>
            </w:r>
          </w:p>
          <w:p w:rsidR="00000000" w:rsidDel="00000000" w:rsidP="00000000" w:rsidRDefault="00000000" w:rsidRPr="00000000" w14:paraId="0000005F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valutazione inseriti nell’Avviso, al fine di individuare i candidati idonei allo svolgimento </w:t>
            </w:r>
          </w:p>
          <w:p w:rsidR="00000000" w:rsidDel="00000000" w:rsidP="00000000" w:rsidRDefault="00000000" w:rsidRPr="00000000" w14:paraId="00000060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prot. …….del ……. per la nomina della Commissione di valutazione delle </w:t>
            </w:r>
          </w:p>
          <w:p w:rsidR="00000000" w:rsidDel="00000000" w:rsidP="00000000" w:rsidRDefault="00000000" w:rsidRPr="00000000" w14:paraId="0000006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candidature pervenute di cui all’avviso prot. …….. del …………..;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L’assenza di incompatibilità dei componenti della commissione di valutazione e dal Rup </w:t>
            </w:r>
          </w:p>
          <w:p w:rsidR="00000000" w:rsidDel="00000000" w:rsidP="00000000" w:rsidRDefault="00000000" w:rsidRPr="00000000" w14:paraId="00000066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così come risulta dalle dichiarazioni presentate dagli interessati assunte a protocollo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68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verbale di selezione redatto dalla Commissione assunto al protocollo n. …… del ……. :</w:t>
            </w:r>
          </w:p>
          <w:p w:rsidR="00000000" w:rsidDel="00000000" w:rsidP="00000000" w:rsidRDefault="00000000" w:rsidRPr="00000000" w14:paraId="0000006A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6C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pubblicazione graduatoria provvisoria prot. n. … del ……….;</w:t>
            </w:r>
          </w:p>
          <w:p w:rsidR="00000000" w:rsidDel="00000000" w:rsidP="00000000" w:rsidRDefault="00000000" w:rsidRPr="00000000" w14:paraId="0000006E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non sono pervenute istanze di ricorso avverso la graduatoria pubblicata in data </w:t>
            </w:r>
          </w:p>
          <w:p w:rsidR="00000000" w:rsidDel="00000000" w:rsidP="00000000" w:rsidRDefault="00000000" w:rsidRPr="00000000" w14:paraId="00000071">
            <w:pPr>
              <w:ind w:left="709" w:hanging="709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 LA PUBBLICAZIONE DELLA SEGUENTE GRADUATORIA DEFINITIVA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L’AFFIDAMENTO DEGLI INCARICHI DEL GRUPPO OPERATIVO DI PROGETTO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TECNICO OPERATIVO 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TECNICA  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METODOLOGICA-DIDATTICA  </w:t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B4">
      <w:pPr>
        <w:tabs>
          <w:tab w:val="left" w:leader="none" w:pos="284"/>
        </w:tabs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Avverso la graduatoria definitiva è ammesso ricorso al TAR entro 60 giorni o ricorso straordinario al Capo dello Stato entro 120 giorni secondo le vigenti disposizioni normative </w:t>
      </w:r>
    </w:p>
    <w:p w:rsidR="00000000" w:rsidDel="00000000" w:rsidP="00000000" w:rsidRDefault="00000000" w:rsidRPr="00000000" w14:paraId="000000B5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B9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firmato digitalmente)</w:t>
            </w:r>
          </w:p>
          <w:p w:rsidR="00000000" w:rsidDel="00000000" w:rsidP="00000000" w:rsidRDefault="00000000" w:rsidRPr="00000000" w14:paraId="000000BA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F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ToPdk+QmtYDmHW1+Np+cIzZ0w==">CgMxLjAyCGguZ2pkZ3hzOAByITFfMHl3M29pYTQ0NmdCWFd6VGlMYWF5NzZXQlJnX014ZA==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2023-05-11T21:32:00Z</dcterms:created>
</cp:coreProperties>
</file>