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line="360" w:lineRule="auto"/>
        <w:ind w:right="79"/>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777484" cy="1518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77484" cy="15181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hanging="281"/>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ISTITUTO </w:t>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spacing w:line="360" w:lineRule="auto"/>
        <w:ind w:right="79"/>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line="360" w:lineRule="auto"/>
        <w:ind w:right="79"/>
        <w:jc w:val="center"/>
        <w:rPr>
          <w:smallCaps w:val="0"/>
        </w:rPr>
      </w:pPr>
      <w:r w:rsidDel="00000000" w:rsidR="00000000" w:rsidRPr="00000000">
        <w:rPr>
          <w:smallCaps w:val="0"/>
          <w:rtl w:val="0"/>
        </w:rPr>
        <w:t xml:space="preserve">PIANO NAZIONALE DI RIPRESA E RESILIENZA - MISSIONE 4: ISTRUZIONE E RICERCA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120" w:hanging="28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99999999999994" w:lineRule="auto"/>
        <w:ind w:left="821" w:right="120" w:hanging="28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Azioni di prevenzione e contrasto della dispersione scolastica - (D.M. 170/2022)</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5" w:line="258" w:lineRule="auto"/>
        <w:ind w:left="1134" w:right="103"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ind w:left="5670" w:right="108"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All'Albo on line </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ind w:left="5670" w:right="108"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All’Amministrazione trasparente </w:t>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ind w:left="5670" w:right="108"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Al Sito Web – Sez. PNRR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5670" w:right="108" w:firstLine="0"/>
        <w:jc w:val="right"/>
        <w:rPr>
          <w:rFonts w:ascii="Arial" w:cs="Arial" w:eastAsia="Arial" w:hAnsi="Arial"/>
          <w:b w:val="1"/>
          <w:smallCaps w:val="0"/>
        </w:rPr>
      </w:pPr>
      <w:r w:rsidDel="00000000" w:rsidR="00000000" w:rsidRPr="00000000">
        <w:rPr>
          <w:rFonts w:ascii="Arial" w:cs="Arial" w:eastAsia="Arial" w:hAnsi="Arial"/>
          <w:b w:val="1"/>
          <w:smallCaps w:val="0"/>
          <w:rtl w:val="0"/>
        </w:rPr>
        <w:t xml:space="preserve">Agli Atti</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5" w:line="258" w:lineRule="auto"/>
        <w:ind w:left="1134" w:right="103" w:hanging="1134"/>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5" w:line="258" w:lineRule="auto"/>
        <w:ind w:left="1134" w:right="103" w:hanging="1134"/>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Oggetto: </w:t>
        <w:tab/>
        <w:t xml:space="preserve">Lettera di incarico componente del TEAM Dispersione Scolastica </w:t>
      </w:r>
      <w:r w:rsidDel="00000000" w:rsidR="00000000" w:rsidRPr="00000000">
        <w:rPr>
          <w:rFonts w:ascii="Arial" w:cs="Arial" w:eastAsia="Arial" w:hAnsi="Arial"/>
          <w:b w:val="1"/>
          <w:smallCaps w:val="0"/>
          <w:color w:val="ff0000"/>
          <w:rtl w:val="0"/>
        </w:rPr>
        <w:t xml:space="preserve">del progetto xxxxxx” - PIANO</w:t>
      </w:r>
      <w:r w:rsidDel="00000000" w:rsidR="00000000" w:rsidRPr="00000000">
        <w:rPr>
          <w:rFonts w:ascii="Arial" w:cs="Arial" w:eastAsia="Arial" w:hAnsi="Arial"/>
          <w:b w:val="1"/>
          <w:smallCaps w:val="0"/>
          <w:rtl w:val="0"/>
        </w:rPr>
        <w:t xml:space="preserve"> NAZIONALE DI RIPRESA E RESILIENZA - MISSIONE 4: Istruzione e Ricerca - Componente 1 - Investimento 1.4 - Intervento straordinario finalizzato alla riduzione dei divari territoriali nel I e II ciclo della scuola secondaria e alla lotta alla dispersione scolastica finanziato dall’Unione europea - Next Generation EU</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1"/>
        <w:jc w:val="both"/>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CUP: xxxx</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1"/>
        <w:jc w:val="both"/>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Codice progetto: M4C1I1.4-2022-981-Pxxxxx</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81"/>
        <w:jc w:val="both"/>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Titolo del progetto: xxxxxxx</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20" w:before="120" w:lineRule="auto"/>
        <w:ind w:left="113" w:firstLine="0"/>
        <w:jc w:val="center"/>
        <w:rPr>
          <w:rFonts w:ascii="Calibri" w:cs="Calibri" w:eastAsia="Calibri" w:hAnsi="Calibri"/>
          <w:b w:val="1"/>
          <w:smallCaps w:val="0"/>
        </w:rPr>
      </w:pPr>
      <w:r w:rsidDel="00000000" w:rsidR="00000000" w:rsidRPr="00000000">
        <w:rPr>
          <w:rFonts w:ascii="Calibri" w:cs="Calibri" w:eastAsia="Calibri" w:hAnsi="Calibri"/>
          <w:b w:val="1"/>
          <w:smallCaps w:val="0"/>
          <w:rtl w:val="0"/>
        </w:rPr>
        <w:t xml:space="preserve">IL DIRIGENTE SCOLASTICO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VISTA</w:t>
        <w:tab/>
      </w:r>
      <w:r w:rsidDel="00000000" w:rsidR="00000000" w:rsidRPr="00000000">
        <w:rPr>
          <w:rFonts w:ascii="Arial" w:cs="Arial" w:eastAsia="Arial" w:hAnsi="Arial"/>
          <w:smallCaps w:val="0"/>
          <w:rtl w:val="0"/>
        </w:rPr>
        <w:t xml:space="preserve">la Legge 7 agosto 1990, n. 241 “Nuove norme in materia di procedimento amministrativo e di diritto di accesso ai documenti amministrativi” e ss. mm. ii;</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VISTA</w:t>
        <w:tab/>
      </w:r>
      <w:r w:rsidDel="00000000" w:rsidR="00000000" w:rsidRPr="00000000">
        <w:rPr>
          <w:rFonts w:ascii="Arial" w:cs="Arial" w:eastAsia="Arial" w:hAnsi="Arial"/>
          <w:smallCaps w:val="0"/>
          <w:rtl w:val="0"/>
        </w:rPr>
        <w:t xml:space="preserve">la Legge 15 marzo 1997 n. 59 concernente “Delega al governo per il conferimento di funzioni e compiti alle regioni e enti locali per la riforma della Pubblica Amministrazione e per la semplificazione amministrativa”;</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tab/>
      </w:r>
      <w:r w:rsidDel="00000000" w:rsidR="00000000" w:rsidRPr="00000000">
        <w:rPr>
          <w:rFonts w:ascii="Arial" w:cs="Arial" w:eastAsia="Arial" w:hAnsi="Arial"/>
          <w:smallCaps w:val="0"/>
          <w:rtl w:val="0"/>
        </w:rPr>
        <w:t xml:space="preserve">il Decreto del Presidente della Repubblica 8 marzo 1999, n. 275, concernente il Regolamento recante “Norme in materia di autonomia delle Istituzioni Scolastiche, ai sensi della Legge 15 marzo 1997, n. 59”;</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tab/>
      </w:r>
      <w:r w:rsidDel="00000000" w:rsidR="00000000" w:rsidRPr="00000000">
        <w:rPr>
          <w:rFonts w:ascii="Arial" w:cs="Arial" w:eastAsia="Arial" w:hAnsi="Arial"/>
          <w:smallCaps w:val="0"/>
          <w:rtl w:val="0"/>
        </w:rPr>
        <w:t xml:space="preserve">il Decreto Legislativo 30 marzo 2001 n. 165 recante “Norme generali sull’ordinamento del lavoro alle dipendenze delle Amministrazioni Pubbliche” e ss. mm. ii.;</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tab/>
      </w:r>
      <w:r w:rsidDel="00000000" w:rsidR="00000000" w:rsidRPr="00000000">
        <w:rPr>
          <w:rFonts w:ascii="Arial" w:cs="Arial" w:eastAsia="Arial" w:hAnsi="Arial"/>
          <w:smallCaps w:val="0"/>
          <w:rtl w:val="0"/>
        </w:rPr>
        <w:t xml:space="preserve">il Decreto Interministeriale 28 agosto 2018, n. 129, recante ad oggetto «Istruzioni generali sulla gestione amministrativo-contabile delle istituzioni scolastiche, ai sensi dell’articolo 1, comma 143, della legge 13 luglio 2015, n. 107»;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VISTA</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Raccomandazione del Consiglio dell’Unione Europea del 28 giugno 2011 sulle politiche di riduzione dell’abbandono scolastico (2011/C 191/01);</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VISTE</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Conclusioni del Consiglio dell’Unione Europea del 23 e 24 novembre 2015 sulla riduzione dell’abbandono scolastico e sulla promozione del successo scolastico (2015/C 417/05);</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tab/>
      </w:r>
      <w:r w:rsidDel="00000000" w:rsidR="00000000" w:rsidRPr="00000000">
        <w:rPr>
          <w:rFonts w:ascii="Arial" w:cs="Arial" w:eastAsia="Arial" w:hAnsi="Arial"/>
          <w:smallCaps w:val="0"/>
          <w:rtl w:val="0"/>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1"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Regolamento UE n. 2020/852 del 18 giugno 2020,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ed in particolare l’articolo 17;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l’art. 125 comma 4 lettera b) del Regolamento UE n. 1303/2013;</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l’articolo 34 del Regolamento UE 2021/241 dispone la necessità di garantire adeguata visibilità ai risultati degli investimenti finanziati dall’Unione Europea;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VISTI</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regolamenti (UE) 12 febbraio 2021, n. 2021/241 (che istituisce il dispositivo per la ripresa e la resilienza), 2021/1060 e i regolamenti delegati 2021/2105 e 2021/2106;</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VISTI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obblighi di assicurare il conseguimento di target e milestone e degli obiettivi finanziari stabiliti nel PNRR;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60" w:lineRule="auto"/>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  </w:t>
      </w:r>
      <w:r w:rsidDel="00000000" w:rsidR="00000000" w:rsidRPr="00000000">
        <w:rPr>
          <w:rFonts w:ascii="Arial" w:cs="Arial" w:eastAsia="Arial" w:hAnsi="Arial"/>
          <w:smallCaps w:val="0"/>
          <w:rtl w:val="0"/>
        </w:rPr>
        <w:t xml:space="preserve">il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Decreto-legge n. 121/2021, articolo 10, comma 4: Opzioni di costo semplificate (OCS);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r>
      <w:r w:rsidDel="00000000" w:rsidR="00000000" w:rsidRPr="00000000">
        <w:rPr>
          <w:rFonts w:ascii="Arial" w:cs="Arial" w:eastAsia="Arial" w:hAnsi="Arial"/>
          <w:smallCaps w:val="0"/>
          <w:rtl w:val="0"/>
        </w:rPr>
        <w:tab/>
        <w:t xml:space="preserve">il decreto del Ministro dell’Istruzione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w:t>
      </w:r>
      <w:r w:rsidDel="00000000" w:rsidR="00000000" w:rsidRPr="00000000">
        <w:rPr>
          <w:rFonts w:ascii="Arial" w:cs="Arial" w:eastAsia="Arial" w:hAnsi="Arial"/>
          <w:smallCaps w:val="0"/>
          <w:rtl w:val="0"/>
        </w:rPr>
        <w:tab/>
        <w:t xml:space="preserve">l’Allegato 2 del D.M. 170/2022 - Criteri di riparto delle risorse per le azioni di prevenzione e contrasto della dispersione scolastica in attuazione dell'investimento 1.4, finanziato dall'Unione Europea - Next Generation EU - Riparto istituzioni scolastiche;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99999999999994"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Nota Min. 60586 del 13 luglio 2022 recante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Orientamenti per l’attuazione degli interventi nelle scuole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Missione 4 - Componente 1 - Investimento 1.4: Intervento straordinario finalizzato alla riduzione dei divari territoriali nella scuola secondaria di I e II grado;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709" w:right="113"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Nota MIM n. 109799 del 30 dicembre 2022 recante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Istruzioni operative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le Azioni di prevenzione e contrasto della dispersione scolastica (D.M. 170/2022);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68.99999999999994"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Nota MIM n. 21092 del 20 febbraio 2023 recante le FAQ relative alla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Missione 4 Istruzione e ricerca – Investimento 1.4: Intervento straordinario finalizzato alla riduzione dei divari 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ritoriali nelle scuole secondarie di primo e di secondo grado e alla lotta alla dispersione scolastica” circa l’eventuale ammissibilità delle spese per il personale scolastico interno, coinvolto nella gestione dei progetti PNRR;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VISTA</w:t>
      </w:r>
      <w:r w:rsidDel="00000000" w:rsidR="00000000" w:rsidRPr="00000000">
        <w:rPr>
          <w:rFonts w:ascii="Arial" w:cs="Arial" w:eastAsia="Arial" w:hAnsi="Arial"/>
          <w:smallCaps w:val="0"/>
          <w:rtl w:val="0"/>
        </w:rPr>
        <w:tab/>
        <w:t xml:space="preserve">la nota prot. n. 60586 del 13 luglio 2022 con la quale il Ministro dell’Istruzione ha diramato gli “Orientamenti per l’attuazione degli interventi nelle scuole” in relazione alle azioni di cui al citato decreto del Ministro dell’istruzione 24 giugno 2022, n. 170;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VISTE</w:t>
      </w:r>
      <w:r w:rsidDel="00000000" w:rsidR="00000000" w:rsidRPr="00000000">
        <w:rPr>
          <w:rFonts w:ascii="Arial" w:cs="Arial" w:eastAsia="Arial" w:hAnsi="Arial"/>
          <w:smallCaps w:val="0"/>
          <w:rtl w:val="0"/>
        </w:rPr>
        <w:tab/>
        <w:t xml:space="preserve">le istruzioni operative dell’Unità di Missione per il PNRR del Ministero dell’istruzione e del merito prot. n. 109799 del 30 dicembre 2022;</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VISTE</w:t>
        <w:tab/>
      </w:r>
      <w:r w:rsidDel="00000000" w:rsidR="00000000" w:rsidRPr="00000000">
        <w:rPr>
          <w:rFonts w:ascii="Arial" w:cs="Arial" w:eastAsia="Arial" w:hAnsi="Arial"/>
          <w:smallCaps w:val="0"/>
          <w:rtl w:val="0"/>
        </w:rPr>
        <w:t xml:space="preserve">le circolari del Ragioniere Generale dello Stato recanti disposizioni relative al Piano Nazionale di Ripresa e Resilienza (PNRR), n. 4, 21, 26, 27, 28, 29, 30, 32, 33, 34, 41, 43 dell’anno 2022;</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09" w:right="142"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VISTA</w:t>
      </w:r>
      <w:r w:rsidDel="00000000" w:rsidR="00000000" w:rsidRPr="00000000">
        <w:rPr>
          <w:rFonts w:ascii="Arial" w:cs="Arial" w:eastAsia="Arial" w:hAnsi="Arial"/>
          <w:smallCaps w:val="0"/>
          <w:rtl w:val="0"/>
        </w:rPr>
        <w:tab/>
        <w:t xml:space="preserve">la Delibera del Consiglio d’Istituto </w:t>
      </w:r>
      <w:r w:rsidDel="00000000" w:rsidR="00000000" w:rsidRPr="00000000">
        <w:rPr>
          <w:rFonts w:ascii="Arial" w:cs="Arial" w:eastAsia="Arial" w:hAnsi="Arial"/>
          <w:smallCaps w:val="0"/>
          <w:color w:val="ff0000"/>
          <w:rtl w:val="0"/>
        </w:rPr>
        <w:t xml:space="preserve">n. xx del xx/xx/2021</w:t>
      </w:r>
      <w:r w:rsidDel="00000000" w:rsidR="00000000" w:rsidRPr="00000000">
        <w:rPr>
          <w:rFonts w:ascii="Arial" w:cs="Arial" w:eastAsia="Arial" w:hAnsi="Arial"/>
          <w:smallCaps w:val="0"/>
          <w:rtl w:val="0"/>
        </w:rPr>
        <w:t xml:space="preserve"> con la quale è stato approvato il P.T.O.F. per gli anni scolastici 2022/2025;</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709" w:right="142"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 </w:t>
        <w:tab/>
      </w:r>
      <w:r w:rsidDel="00000000" w:rsidR="00000000" w:rsidRPr="00000000">
        <w:rPr>
          <w:rFonts w:ascii="Arial" w:cs="Arial" w:eastAsia="Arial" w:hAnsi="Arial"/>
          <w:smallCaps w:val="0"/>
          <w:rtl w:val="0"/>
        </w:rPr>
        <w:t xml:space="preserve">il Programma Annuale 2023 approvato dal C. d. I. con delibera n. 20 del 26/01/2023 e le successive variazioni e assestamenti;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709" w:right="-28" w:hanging="709"/>
        <w:jc w:val="both"/>
        <w:rPr>
          <w:rFonts w:ascii="Arial" w:cs="Arial" w:eastAsia="Arial" w:hAnsi="Arial"/>
          <w:smallCaps w:val="0"/>
          <w:color w:val="ff0000"/>
        </w:rPr>
      </w:pPr>
      <w:r w:rsidDel="00000000" w:rsidR="00000000" w:rsidRPr="00000000">
        <w:rPr>
          <w:rFonts w:ascii="Arial" w:cs="Arial" w:eastAsia="Arial" w:hAnsi="Arial"/>
          <w:b w:val="1"/>
          <w:smallCaps w:val="0"/>
          <w:rtl w:val="0"/>
        </w:rPr>
        <w:t xml:space="preserve">VISTE</w:t>
        <w:tab/>
      </w:r>
      <w:r w:rsidDel="00000000" w:rsidR="00000000" w:rsidRPr="00000000">
        <w:rPr>
          <w:rFonts w:ascii="Arial" w:cs="Arial" w:eastAsia="Arial" w:hAnsi="Arial"/>
          <w:smallCaps w:val="0"/>
          <w:rtl w:val="0"/>
        </w:rPr>
        <w:t xml:space="preserve">le delibere di adesione al progetto PNRR Investimento 1.4 “Intervento straordinario finalizzato alla riduzione dei divari territoriali nel I e II ciclo della scuola secondaria e alla lotta alla dispersione scolastica” nell’ambito della Missione 4: Collegio dei Docenti </w:t>
      </w:r>
      <w:r w:rsidDel="00000000" w:rsidR="00000000" w:rsidRPr="00000000">
        <w:rPr>
          <w:rFonts w:ascii="Arial" w:cs="Arial" w:eastAsia="Arial" w:hAnsi="Arial"/>
          <w:smallCaps w:val="0"/>
          <w:color w:val="ff0000"/>
          <w:rtl w:val="0"/>
        </w:rPr>
        <w:t xml:space="preserve">n. xx del xx/xx/202x e Consiglio d’Istituto n. xx del xx/xx/2023;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9"/>
        </w:tabs>
        <w:spacing w:after="0" w:before="0" w:line="240" w:lineRule="auto"/>
        <w:ind w:left="709" w:right="-28"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VISTA</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candidatura, inoltrata sull’apposita piattaforma, presentata in data xx/xx/2023;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9"/>
        </w:tabs>
        <w:spacing w:after="0" w:before="0" w:line="240" w:lineRule="auto"/>
        <w:ind w:left="709" w:right="-28"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l’accordo di concessione firmato digitalmente dall’Unità di Missione e protocollato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con n. xxx in data 31/03/2023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costituisce formale autorizzazione all’avvio del progetto e contestuale autorizzazione alla spesa;</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color w:val="ff0000"/>
        </w:rPr>
      </w:pPr>
      <w:r w:rsidDel="00000000" w:rsidR="00000000" w:rsidRPr="00000000">
        <w:rPr>
          <w:rFonts w:ascii="Arial" w:cs="Arial" w:eastAsia="Arial" w:hAnsi="Arial"/>
          <w:b w:val="1"/>
          <w:smallCaps w:val="0"/>
          <w:rtl w:val="0"/>
        </w:rPr>
        <w:t xml:space="preserve">VISTO</w:t>
        <w:tab/>
      </w:r>
      <w:r w:rsidDel="00000000" w:rsidR="00000000" w:rsidRPr="00000000">
        <w:rPr>
          <w:rFonts w:ascii="Arial" w:cs="Arial" w:eastAsia="Arial" w:hAnsi="Arial"/>
          <w:smallCaps w:val="0"/>
          <w:rtl w:val="0"/>
        </w:rPr>
        <w:t xml:space="preserve">il decreto di assunzione in bilancio del progetto “Azioni di prevenzione e contrasto della dispersione scolastica – D.M. n. 170/2022 – Codice identificativo del progetto</w:t>
      </w:r>
      <w:r w:rsidDel="00000000" w:rsidR="00000000" w:rsidRPr="00000000">
        <w:rPr>
          <w:rFonts w:ascii="Arial" w:cs="Arial" w:eastAsia="Arial" w:hAnsi="Arial"/>
          <w:smallCaps w:val="0"/>
          <w:color w:val="ff0000"/>
          <w:rtl w:val="0"/>
        </w:rPr>
        <w:t xml:space="preserve">: M4C1I1.4-2022-981-P-xxx - CUP: xxxxxxxx” prot. n. xxxxxxx del xxxxxxx;</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8"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Quaderno Miur n. 3 del novembre 2020, in materia 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Istruzioni per l’affidamento di incarichi individuali”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8"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Regolamento per il conferimento degli incarichi approvato dal Consiglio di Istituto 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delibera n. x</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VISTO </w:t>
      </w:r>
      <w:r w:rsidDel="00000000" w:rsidR="00000000" w:rsidRPr="00000000">
        <w:rPr>
          <w:rFonts w:ascii="Arial" w:cs="Arial" w:eastAsia="Arial" w:hAnsi="Arial"/>
          <w:smallCaps w:val="0"/>
          <w:rtl w:val="0"/>
        </w:rPr>
        <w:t xml:space="preserve">l’Istituto necessita di acquisire un supporto qualificato in ordine alla corretta realizzazione ed esecuzione del progetto “Scappo (d)A scuola ”, per la prevenzione e contrasto della dispersione scolastica (a seguire, anche l’«Incarico») nell’ambito della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(D.M. 170/2022</w:t>
      </w:r>
      <w:r w:rsidDel="00000000" w:rsidR="00000000" w:rsidRPr="00000000">
        <w:rPr>
          <w:rFonts w:ascii="Arial" w:cs="Arial" w:eastAsia="Arial" w:hAnsi="Arial"/>
          <w:b w:val="1"/>
          <w:smallCaps w:val="0"/>
          <w:rtl w:val="0"/>
        </w:rPr>
        <w:t xml:space="preserv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709" w:hanging="709"/>
        <w:jc w:val="both"/>
        <w:rPr>
          <w:rFonts w:ascii="Arial" w:cs="Arial" w:eastAsia="Arial" w:hAnsi="Arial"/>
          <w:smallCaps w:val="0"/>
        </w:rPr>
      </w:pPr>
      <w:r w:rsidDel="00000000" w:rsidR="00000000" w:rsidRPr="00000000">
        <w:rPr>
          <w:rFonts w:ascii="Arial" w:cs="Arial" w:eastAsia="Arial" w:hAnsi="Arial"/>
          <w:b w:val="1"/>
          <w:smallCaps w:val="0"/>
          <w:rtl w:val="0"/>
        </w:rPr>
        <w:t xml:space="preserve">VISTO </w:t>
      </w:r>
      <w:r w:rsidDel="00000000" w:rsidR="00000000" w:rsidRPr="00000000">
        <w:rPr>
          <w:rFonts w:ascii="Arial" w:cs="Arial" w:eastAsia="Arial" w:hAnsi="Arial"/>
          <w:smallCaps w:val="0"/>
          <w:rtl w:val="0"/>
        </w:rPr>
        <w:t xml:space="preserve">tra il personale docente interno dell’Istituto si sono resi disponibili docenti che sono risultati in possesso delle competenze necessarie richieste per le attività oggetto dell’incarico;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28"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l’Avviso pubblico di selezione prot. n. …………. pubblicato dall’Istituzione Scolastica in data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il verbale della selezione, svolto il …………… acquisito con prot. n. ………. del ………….., che riporta altresì la graduatoria dei candidati idonei, sottoscritto dalla Commissione incaricata;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la graduatoria definitiva pubblicata in data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OPPURE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Calibri" w:cs="Calibri" w:eastAsia="Calibri" w:hAnsi="Calibri"/>
          <w:b w:val="0"/>
          <w:i w:val="0"/>
          <w:smallCaps w:val="0"/>
          <w:strike w:val="0"/>
          <w:color w:val="000000"/>
          <w:sz w:val="23"/>
          <w:szCs w:val="23"/>
          <w:highlight w:val="cyan"/>
          <w:u w:val="none"/>
          <w:vertAlign w:val="baseline"/>
        </w:rPr>
      </w:pPr>
      <w:r w:rsidDel="00000000" w:rsidR="00000000" w:rsidRPr="00000000">
        <w:rPr>
          <w:rFonts w:ascii="Calibri" w:cs="Calibri" w:eastAsia="Calibri" w:hAnsi="Calibri"/>
          <w:b w:val="0"/>
          <w:i w:val="0"/>
          <w:smallCaps w:val="0"/>
          <w:strike w:val="0"/>
          <w:color w:val="000000"/>
          <w:sz w:val="23"/>
          <w:szCs w:val="23"/>
          <w:highlight w:val="cyan"/>
          <w:u w:val="none"/>
          <w:vertAlign w:val="baseline"/>
          <w:rtl w:val="0"/>
        </w:rPr>
        <w:t xml:space="preserve">VISTO</w:t>
        <w:tab/>
        <w:t xml:space="preserve">il decreto di costituzione del Team per la Dispersione Scolastica di data …………… acquisito a prot. ……. 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Calibri" w:cs="Calibri" w:eastAsia="Calibri" w:hAnsi="Calibri"/>
          <w:b w:val="0"/>
          <w:i w:val="0"/>
          <w:smallCaps w:val="0"/>
          <w:strike w:val="0"/>
          <w:color w:val="000000"/>
          <w:sz w:val="23"/>
          <w:szCs w:val="23"/>
          <w:highlight w:val="cyan"/>
          <w:u w:val="none"/>
          <w:vertAlign w:val="baseline"/>
        </w:rPr>
      </w:pPr>
      <w:r w:rsidDel="00000000" w:rsidR="00000000" w:rsidRPr="00000000">
        <w:rPr>
          <w:rFonts w:ascii="Calibri" w:cs="Calibri" w:eastAsia="Calibri" w:hAnsi="Calibri"/>
          <w:b w:val="0"/>
          <w:i w:val="0"/>
          <w:smallCaps w:val="0"/>
          <w:strike w:val="0"/>
          <w:color w:val="000000"/>
          <w:sz w:val="23"/>
          <w:szCs w:val="23"/>
          <w:highlight w:val="cyan"/>
          <w:u w:val="none"/>
          <w:vertAlign w:val="baseline"/>
          <w:rtl w:val="0"/>
        </w:rPr>
        <w:t xml:space="preserve">la Prof.ssa …………………….. risulta essere in possesso, come da curriculum vitae allegato, delle competenze necessarie allo svolgimento dell’attività ed è risultato in posizione idonea nella procedura selettiva espletata;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both"/>
        <w:rPr>
          <w:rFonts w:ascii="Calibri" w:cs="Calibri" w:eastAsia="Calibri" w:hAnsi="Calibri"/>
          <w:b w:val="0"/>
          <w:i w:val="0"/>
          <w:smallCaps w:val="0"/>
          <w:strike w:val="0"/>
          <w:color w:val="000000"/>
          <w:sz w:val="23"/>
          <w:szCs w:val="23"/>
          <w:highlight w:val="cyan"/>
          <w:u w:val="none"/>
          <w:vertAlign w:val="baseline"/>
        </w:rPr>
      </w:pPr>
      <w:r w:rsidDel="00000000" w:rsidR="00000000" w:rsidRPr="00000000">
        <w:rPr>
          <w:rFonts w:ascii="Calibri" w:cs="Calibri" w:eastAsia="Calibri" w:hAnsi="Calibri"/>
          <w:b w:val="0"/>
          <w:i w:val="0"/>
          <w:smallCaps w:val="0"/>
          <w:strike w:val="0"/>
          <w:color w:val="000000"/>
          <w:sz w:val="23"/>
          <w:szCs w:val="23"/>
          <w:highlight w:val="cyan"/>
          <w:u w:val="none"/>
          <w:vertAlign w:val="baseline"/>
          <w:rtl w:val="0"/>
        </w:rPr>
        <w:t xml:space="preserve">non sussistono motivi di incompatibilità al conferimento dell’incarico in capo al soggetto Incaricato derivanti da rapporti di coniugio, parentele o affinità entro il secondo grado con lo stesso, né altre situazioni, anche potenziali, di conflitto di interessi;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CONFERISCE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112" w:right="106"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Prof.ssa ………………… L’incarico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Componente del Team per la prevenzione e contrasto della dispersione scolastica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avente ad oggetto il </w:t>
      </w: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COORDINAMENTO  PERCORSI  DI  MENTORING  ….. COMPETENZE ……………… LABORATORIE  DI  ORIENTAMENTO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09"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data di conferimento dell’incarico fino al 31/12/2024 nell’ambito del progetto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xxxxxxx”, C.U.P.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xxxxxxx</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Identificativo progetto: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M4C1I1.4-2022-981-P-xxxxxxx</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secondo le modalità di seguito elencate.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L’Incarico prevede l’espletamento delle seguenti attività:</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Individuare gli alunni e le alunne a rischio dispersione ed effettuare la mappatura dei loro bisogni formativi;</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Effettuare, in collaborazione con la Dirigenza, la co-progettazione degli interventi ed individuare le azioni da mettere in atto</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Suddividere i destinatari e indirizzarli alla tipologia di percorso formativo più adatto</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Coadiuvare La Dirigenza nella gestione e compilazione della piattaforma dedicata</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Monitorare la frequenza alle attività formative da parte degli alunni aggiornando i dati riferiti sia agli indicatori, sia al target da raggiungere</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Verificare, in collaborazione con la Dirigenza, il rispetto del crono programma previsto</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Caricare i percorsi in piattaforma didattica</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Caricare la documentazione in piattaforma di gestione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l’avanzamento dei percorsi</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Alimentare la piattaforma di avanzamento</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Caricare gli indicatori periodici</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Raccordarsi, anche tramite tavoli di lavoro congiunti, con il Team delle altre scuole del territorio, con gli enti locali di supporto al fine di favorire la cooperazione ed il confronto</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Rimodulare i percorsi formativi, nel rispetto dei limiti e dei target assegnato, in numero di alunni e/o numero di ore anche a seconda delle necessità e criticità via via emergenti</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Formulare  proposte  circa  l’area  formativa,  individuando  i  bisogni  dei  Docenti  e  quali  percorsi destinare a interni, quali ad esterni, quali a soggetti giuridici</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60" w:before="0" w:line="240" w:lineRule="auto"/>
        <w:ind w:left="567" w:right="0" w:hanging="567"/>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Collaborare con la Dirigenza nella preparazione dei relativi avvisi nell’ambito della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(D.M. 170/2022)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after="120" w:lineRule="auto"/>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Nel dettaglio, XXXXXX  </w:t>
      </w:r>
      <w:r w:rsidDel="00000000" w:rsidR="00000000" w:rsidRPr="00000000">
        <w:rPr>
          <w:rFonts w:ascii="Sorts Mill Goudy" w:cs="Sorts Mill Goudy" w:eastAsia="Sorts Mill Goudy" w:hAnsi="Sorts Mill Goudy"/>
          <w:b w:val="1"/>
          <w:rtl w:val="0"/>
        </w:rPr>
        <w:t xml:space="preserve"> </w:t>
      </w:r>
      <w:r w:rsidDel="00000000" w:rsidR="00000000" w:rsidRPr="00000000">
        <w:rPr>
          <w:rFonts w:ascii="Sorts Mill Goudy" w:cs="Sorts Mill Goudy" w:eastAsia="Sorts Mill Goudy" w:hAnsi="Sorts Mill Goudy"/>
          <w:rtl w:val="0"/>
        </w:rPr>
        <w:t xml:space="preserve">sarà tenuto a:</w:t>
      </w:r>
    </w:p>
    <w:p w:rsidR="00000000" w:rsidDel="00000000" w:rsidP="00000000" w:rsidRDefault="00000000" w:rsidRPr="00000000" w14:paraId="00000056">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effettuare l’analisi del contesto;</w:t>
      </w:r>
    </w:p>
    <w:p w:rsidR="00000000" w:rsidDel="00000000" w:rsidP="00000000" w:rsidRDefault="00000000" w:rsidRPr="00000000" w14:paraId="00000057">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supportare la scuola nell’individuazione delle studentesse e degli studenti a maggior rischio di abbandono o che abbiano già abbandonato la scuola ed effettuare la mappatura dei loro fabbisogni formativi;</w:t>
      </w:r>
    </w:p>
    <w:p w:rsidR="00000000" w:rsidDel="00000000" w:rsidP="00000000" w:rsidRDefault="00000000" w:rsidRPr="00000000" w14:paraId="00000058">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supportare la scuola nell’individuazione degli studenti con maggiori fragilità negli apprendimenti di base;</w:t>
      </w:r>
    </w:p>
    <w:p w:rsidR="00000000" w:rsidDel="00000000" w:rsidP="00000000" w:rsidRDefault="00000000" w:rsidRPr="00000000" w14:paraId="00000059">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rafforzare l’autonomia scolastica in materia di prevenzione della dispersione, migliorare l’organizzazione interna in chiave inclusiva e gestire le relazioni con eventuali altri soggetti;</w:t>
      </w:r>
    </w:p>
    <w:p w:rsidR="00000000" w:rsidDel="00000000" w:rsidP="00000000" w:rsidRDefault="00000000" w:rsidRPr="00000000" w14:paraId="0000005A">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intervenire nel contrasto dell’abbandono scolastico;</w:t>
      </w:r>
    </w:p>
    <w:p w:rsidR="00000000" w:rsidDel="00000000" w:rsidP="00000000" w:rsidRDefault="00000000" w:rsidRPr="00000000" w14:paraId="0000005B">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effettuare la co-progettazione degli interventi e individuare le azioni per l’attuazione dell’investimento 1.4 “Intervento straordinario finalizzato alla riduzione dei divari territoriali nelle scuole secondarie di primo e secondo grado e alla lotta alla dispersione scolastica” - PNRR;</w:t>
      </w:r>
    </w:p>
    <w:p w:rsidR="00000000" w:rsidDel="00000000" w:rsidP="00000000" w:rsidRDefault="00000000" w:rsidRPr="00000000" w14:paraId="0000005C">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riferirsi alle figure di sistema quali, funzioni strumentali, Dipartimenti, N.I.V., Referenti di sede e Referente INVALSI, Animatore Digitale, Team dell’innovazione digitale, per l’individuazione di criticità, problematiche e documenti didattico-organizzativi della Scuola;</w:t>
      </w:r>
    </w:p>
    <w:p w:rsidR="00000000" w:rsidDel="00000000" w:rsidP="00000000" w:rsidRDefault="00000000" w:rsidRPr="00000000" w14:paraId="0000005D">
      <w:pPr>
        <w:numPr>
          <w:ilvl w:val="0"/>
          <w:numId w:val="2"/>
        </w:numPr>
        <w:tabs>
          <w:tab w:val="left" w:leader="none" w:pos="545"/>
        </w:tabs>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predisporre un documento per il collegio dei docenti che individua obiettivi e interventi;</w:t>
      </w:r>
    </w:p>
    <w:p w:rsidR="00000000" w:rsidDel="00000000" w:rsidP="00000000" w:rsidRDefault="00000000" w:rsidRPr="00000000" w14:paraId="0000005E">
      <w:pPr>
        <w:numPr>
          <w:ilvl w:val="0"/>
          <w:numId w:val="2"/>
        </w:numPr>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promuovere, eventualmente,  il confronto con gli attori del territorio, tenendo conto dell’analisi di contesto e del rapporto di autovalutazione (RAV);</w:t>
      </w:r>
    </w:p>
    <w:p w:rsidR="00000000" w:rsidDel="00000000" w:rsidP="00000000" w:rsidRDefault="00000000" w:rsidRPr="00000000" w14:paraId="0000005F">
      <w:pPr>
        <w:numPr>
          <w:ilvl w:val="0"/>
          <w:numId w:val="2"/>
        </w:numPr>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effettuare il monitoraggio richiesto per aggiornare i dati riferiti sia agli indicatori che ai target e nello specifico per misurare il grado di avanzamento delle azioni di progetto;</w:t>
      </w:r>
    </w:p>
    <w:p w:rsidR="00000000" w:rsidDel="00000000" w:rsidP="00000000" w:rsidRDefault="00000000" w:rsidRPr="00000000" w14:paraId="00000060">
      <w:pPr>
        <w:numPr>
          <w:ilvl w:val="0"/>
          <w:numId w:val="2"/>
        </w:numPr>
        <w:spacing w:line="276" w:lineRule="auto"/>
        <w:ind w:left="544" w:right="150"/>
        <w:jc w:val="both"/>
        <w:rPr>
          <w:rFonts w:ascii="Sorts Mill Goudy" w:cs="Sorts Mill Goudy" w:eastAsia="Sorts Mill Goudy" w:hAnsi="Sorts Mill Goudy"/>
          <w:sz w:val="24"/>
          <w:szCs w:val="24"/>
        </w:rPr>
      </w:pPr>
      <w:r w:rsidDel="00000000" w:rsidR="00000000" w:rsidRPr="00000000">
        <w:rPr>
          <w:rFonts w:ascii="Sorts Mill Goudy" w:cs="Sorts Mill Goudy" w:eastAsia="Sorts Mill Goudy" w:hAnsi="Sorts Mill Goudy"/>
          <w:rtl w:val="0"/>
        </w:rPr>
        <w:t xml:space="preserve">verificare il raggiungimento dei target previsto dal PNRR e il rispetto del cronoprogramma da parte di ciascuna scuola attuatrice e il grado di realizzazione degli interventi di prevenzione e contrasto alla dispersione.</w:t>
      </w:r>
    </w:p>
    <w:p w:rsidR="00000000" w:rsidDel="00000000" w:rsidP="00000000" w:rsidRDefault="00000000" w:rsidRPr="00000000" w14:paraId="00000061">
      <w:pPr>
        <w:spacing w:line="276" w:lineRule="auto"/>
        <w:ind w:right="150"/>
        <w:jc w:val="both"/>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062">
      <w:pPr>
        <w:spacing w:line="276" w:lineRule="auto"/>
        <w:ind w:right="15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Percorsi:</w:t>
      </w:r>
    </w:p>
    <w:p w:rsidR="00000000" w:rsidDel="00000000" w:rsidP="00000000" w:rsidRDefault="00000000" w:rsidRPr="00000000" w14:paraId="00000063">
      <w:pPr>
        <w:spacing w:before="6" w:lineRule="auto"/>
        <w:ind w:left="142" w:right="-42" w:firstLine="0"/>
        <w:jc w:val="both"/>
        <w:rPr>
          <w:rFonts w:ascii="Sorts Mill Goudy" w:cs="Sorts Mill Goudy" w:eastAsia="Sorts Mill Goudy" w:hAnsi="Sorts Mill Goudy"/>
        </w:rPr>
      </w:pPr>
      <w:r w:rsidDel="00000000" w:rsidR="00000000" w:rsidRPr="00000000">
        <w:rPr>
          <w:rtl w:val="0"/>
        </w:rPr>
      </w:r>
    </w:p>
    <w:tbl>
      <w:tblPr>
        <w:tblStyle w:val="Table1"/>
        <w:tblW w:w="10363.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54"/>
        <w:gridCol w:w="2127"/>
        <w:gridCol w:w="982"/>
        <w:tblGridChange w:id="0">
          <w:tblGrid>
            <w:gridCol w:w="7254"/>
            <w:gridCol w:w="2127"/>
            <w:gridCol w:w="982"/>
          </w:tblGrid>
        </w:tblGridChange>
      </w:tblGrid>
      <w:tr>
        <w:trPr>
          <w:cantSplit w:val="0"/>
          <w:trHeight w:val="580" w:hRule="atLeast"/>
          <w:tblHeader w:val="0"/>
        </w:trPr>
        <w:tc>
          <w:tcPr/>
          <w:p w:rsidR="00000000" w:rsidDel="00000000" w:rsidP="00000000" w:rsidRDefault="00000000" w:rsidRPr="00000000" w14:paraId="00000064">
            <w:pPr>
              <w:spacing w:before="150" w:lineRule="auto"/>
              <w:ind w:left="2968" w:right="1985" w:firstLine="0"/>
              <w:jc w:val="center"/>
              <w:rPr>
                <w:b w:val="1"/>
              </w:rPr>
            </w:pPr>
            <w:r w:rsidDel="00000000" w:rsidR="00000000" w:rsidRPr="00000000">
              <w:rPr>
                <w:b w:val="1"/>
                <w:rtl w:val="0"/>
              </w:rPr>
              <w:t xml:space="preserve">TIPOLOGIA</w:t>
            </w:r>
          </w:p>
        </w:tc>
        <w:tc>
          <w:tcPr/>
          <w:p w:rsidR="00000000" w:rsidDel="00000000" w:rsidP="00000000" w:rsidRDefault="00000000" w:rsidRPr="00000000" w14:paraId="00000065">
            <w:pPr>
              <w:spacing w:before="13" w:line="237" w:lineRule="auto"/>
              <w:ind w:left="99" w:firstLine="366"/>
              <w:rPr>
                <w:b w:val="1"/>
                <w:sz w:val="22"/>
                <w:szCs w:val="22"/>
              </w:rPr>
            </w:pPr>
            <w:r w:rsidDel="00000000" w:rsidR="00000000" w:rsidRPr="00000000">
              <w:rPr>
                <w:b w:val="1"/>
                <w:sz w:val="22"/>
                <w:szCs w:val="22"/>
                <w:rtl w:val="0"/>
              </w:rPr>
              <w:t xml:space="preserve">MODALITÀ ORGANIZZATIVA</w:t>
            </w:r>
          </w:p>
        </w:tc>
        <w:tc>
          <w:tcPr/>
          <w:p w:rsidR="00000000" w:rsidDel="00000000" w:rsidP="00000000" w:rsidRDefault="00000000" w:rsidRPr="00000000" w14:paraId="00000066">
            <w:pPr>
              <w:spacing w:before="13" w:line="237" w:lineRule="auto"/>
              <w:ind w:left="99" w:firstLine="42.999999999999986"/>
              <w:jc w:val="center"/>
              <w:rPr>
                <w:b w:val="1"/>
              </w:rPr>
            </w:pPr>
            <w:r w:rsidDel="00000000" w:rsidR="00000000" w:rsidRPr="00000000">
              <w:rPr>
                <w:b w:val="1"/>
                <w:rtl w:val="0"/>
              </w:rPr>
              <w:t xml:space="preserve">N. ORE</w:t>
            </w:r>
          </w:p>
        </w:tc>
      </w:tr>
      <w:tr>
        <w:trPr>
          <w:cantSplit w:val="0"/>
          <w:trHeight w:val="1284" w:hRule="atLeast"/>
          <w:tblHeader w:val="0"/>
        </w:trPr>
        <w:tc>
          <w:tcPr/>
          <w:p w:rsidR="00000000" w:rsidDel="00000000" w:rsidP="00000000" w:rsidRDefault="00000000" w:rsidRPr="00000000" w14:paraId="00000067">
            <w:pPr>
              <w:spacing w:before="15" w:lineRule="auto"/>
              <w:ind w:left="14" w:firstLine="0"/>
              <w:jc w:val="both"/>
              <w:rPr>
                <w:rFonts w:ascii="Sorts Mill Goudy" w:cs="Sorts Mill Goudy" w:eastAsia="Sorts Mill Goudy" w:hAnsi="Sorts Mill Goudy"/>
                <w:b w:val="1"/>
                <w:i w:val="1"/>
                <w:sz w:val="22"/>
                <w:szCs w:val="22"/>
              </w:rPr>
            </w:pPr>
            <w:r w:rsidDel="00000000" w:rsidR="00000000" w:rsidRPr="00000000">
              <w:rPr>
                <w:rFonts w:ascii="Sorts Mill Goudy" w:cs="Sorts Mill Goudy" w:eastAsia="Sorts Mill Goudy" w:hAnsi="Sorts Mill Goudy"/>
                <w:b w:val="1"/>
                <w:i w:val="1"/>
                <w:sz w:val="22"/>
                <w:szCs w:val="22"/>
                <w:rtl w:val="0"/>
              </w:rPr>
              <w:t xml:space="preserve">Percorsi di mentoring e di orientamento</w:t>
            </w:r>
          </w:p>
          <w:p w:rsidR="00000000" w:rsidDel="00000000" w:rsidP="00000000" w:rsidRDefault="00000000" w:rsidRPr="00000000" w14:paraId="00000068">
            <w:pPr>
              <w:ind w:left="14" w:right="6" w:firstLine="0"/>
              <w:jc w:val="both"/>
              <w:rPr>
                <w:rFonts w:ascii="Sorts Mill Goudy" w:cs="Sorts Mill Goudy" w:eastAsia="Sorts Mill Goudy" w:hAnsi="Sorts Mill Goudy"/>
                <w:sz w:val="22"/>
                <w:szCs w:val="22"/>
              </w:rPr>
            </w:pPr>
            <w:r w:rsidDel="00000000" w:rsidR="00000000" w:rsidRPr="00000000">
              <w:rPr>
                <w:rFonts w:ascii="Sorts Mill Goudy" w:cs="Sorts Mill Goudy" w:eastAsia="Sorts Mill Goudy" w:hAnsi="Sorts Mill Goudy"/>
                <w:sz w:val="22"/>
                <w:szCs w:val="22"/>
                <w:rtl w:val="0"/>
              </w:rPr>
              <w:t xml:space="preserve">Al fine di sostenere il contrasto dell’abbandono scolastico gli studenti che mostrano particolari fragilità, motivazionali e/o disciplinari, sono accompagnati in percorsi individuali di rafforzamento attraverso mentoring e orientamento sostegno disciplinare, </w:t>
            </w:r>
            <w:r w:rsidDel="00000000" w:rsidR="00000000" w:rsidRPr="00000000">
              <w:rPr>
                <w:rFonts w:ascii="Sorts Mill Goudy" w:cs="Sorts Mill Goudy" w:eastAsia="Sorts Mill Goudy" w:hAnsi="Sorts Mill Goudy"/>
                <w:i w:val="1"/>
                <w:sz w:val="22"/>
                <w:szCs w:val="22"/>
                <w:rtl w:val="0"/>
              </w:rPr>
              <w:t xml:space="preserve">coaching</w:t>
            </w:r>
            <w:r w:rsidDel="00000000" w:rsidR="00000000" w:rsidRPr="00000000">
              <w:rPr>
                <w:rFonts w:ascii="Sorts Mill Goudy" w:cs="Sorts Mill Goudy" w:eastAsia="Sorts Mill Goudy" w:hAnsi="Sorts Mill Goudy"/>
                <w:sz w:val="22"/>
                <w:szCs w:val="22"/>
                <w:rtl w:val="0"/>
              </w:rPr>
              <w:t xml:space="preserve">.</w:t>
            </w:r>
          </w:p>
        </w:tc>
        <w:tc>
          <w:tcPr/>
          <w:p w:rsidR="00000000" w:rsidDel="00000000" w:rsidP="00000000" w:rsidRDefault="00000000" w:rsidRPr="00000000" w14:paraId="00000069">
            <w:pPr>
              <w:ind w:left="107" w:firstLine="0"/>
              <w:rPr>
                <w:b w:val="1"/>
                <w:sz w:val="18"/>
                <w:szCs w:val="18"/>
              </w:rPr>
            </w:pPr>
            <w:r w:rsidDel="00000000" w:rsidR="00000000" w:rsidRPr="00000000">
              <w:rPr>
                <w:rtl w:val="0"/>
              </w:rPr>
            </w:r>
          </w:p>
          <w:p w:rsidR="00000000" w:rsidDel="00000000" w:rsidP="00000000" w:rsidRDefault="00000000" w:rsidRPr="00000000" w14:paraId="0000006A">
            <w:pPr>
              <w:ind w:left="107" w:firstLine="0"/>
              <w:rPr>
                <w:b w:val="1"/>
                <w:sz w:val="18"/>
                <w:szCs w:val="18"/>
              </w:rPr>
            </w:pPr>
            <w:r w:rsidDel="00000000" w:rsidR="00000000" w:rsidRPr="00000000">
              <w:rPr>
                <w:rtl w:val="0"/>
              </w:rPr>
            </w:r>
          </w:p>
          <w:p w:rsidR="00000000" w:rsidDel="00000000" w:rsidP="00000000" w:rsidRDefault="00000000" w:rsidRPr="00000000" w14:paraId="0000006B">
            <w:pPr>
              <w:ind w:left="449" w:right="441" w:firstLine="0"/>
              <w:jc w:val="center"/>
              <w:rPr>
                <w:sz w:val="18"/>
                <w:szCs w:val="18"/>
              </w:rPr>
            </w:pPr>
            <w:r w:rsidDel="00000000" w:rsidR="00000000" w:rsidRPr="00000000">
              <w:rPr>
                <w:sz w:val="18"/>
                <w:szCs w:val="18"/>
                <w:rtl w:val="0"/>
              </w:rPr>
              <w:t xml:space="preserve">Individuale</w:t>
            </w:r>
          </w:p>
        </w:tc>
        <w:tc>
          <w:tcPr/>
          <w:p w:rsidR="00000000" w:rsidDel="00000000" w:rsidP="00000000" w:rsidRDefault="00000000" w:rsidRPr="00000000" w14:paraId="0000006C">
            <w:pPr>
              <w:ind w:left="107" w:firstLine="0"/>
              <w:jc w:val="center"/>
              <w:rPr>
                <w:b w:val="1"/>
                <w:sz w:val="18"/>
                <w:szCs w:val="18"/>
              </w:rPr>
            </w:pPr>
            <w:r w:rsidDel="00000000" w:rsidR="00000000" w:rsidRPr="00000000">
              <w:rPr>
                <w:rtl w:val="0"/>
              </w:rPr>
            </w:r>
          </w:p>
          <w:p w:rsidR="00000000" w:rsidDel="00000000" w:rsidP="00000000" w:rsidRDefault="00000000" w:rsidRPr="00000000" w14:paraId="0000006D">
            <w:pPr>
              <w:ind w:left="107" w:firstLine="0"/>
              <w:jc w:val="center"/>
              <w:rPr>
                <w:b w:val="1"/>
                <w:sz w:val="18"/>
                <w:szCs w:val="18"/>
              </w:rPr>
            </w:pPr>
            <w:r w:rsidDel="00000000" w:rsidR="00000000" w:rsidRPr="00000000">
              <w:rPr>
                <w:rtl w:val="0"/>
              </w:rPr>
            </w:r>
          </w:p>
          <w:p w:rsidR="00000000" w:rsidDel="00000000" w:rsidP="00000000" w:rsidRDefault="00000000" w:rsidRPr="00000000" w14:paraId="0000006E">
            <w:pPr>
              <w:ind w:left="107" w:firstLine="0"/>
              <w:jc w:val="center"/>
              <w:rPr>
                <w:b w:val="1"/>
                <w:sz w:val="18"/>
                <w:szCs w:val="18"/>
              </w:rPr>
            </w:pPr>
            <w:r w:rsidDel="00000000" w:rsidR="00000000" w:rsidRPr="00000000">
              <w:rPr>
                <w:rtl w:val="0"/>
              </w:rPr>
            </w:r>
          </w:p>
        </w:tc>
      </w:tr>
      <w:tr>
        <w:trPr>
          <w:cantSplit w:val="0"/>
          <w:trHeight w:val="1259" w:hRule="atLeast"/>
          <w:tblHeader w:val="0"/>
        </w:trPr>
        <w:tc>
          <w:tcPr/>
          <w:p w:rsidR="00000000" w:rsidDel="00000000" w:rsidP="00000000" w:rsidRDefault="00000000" w:rsidRPr="00000000" w14:paraId="0000006F">
            <w:pPr>
              <w:spacing w:before="11" w:line="246.99999999999994" w:lineRule="auto"/>
              <w:ind w:left="14" w:right="6" w:firstLine="0"/>
              <w:jc w:val="both"/>
              <w:rPr>
                <w:rFonts w:ascii="Sorts Mill Goudy" w:cs="Sorts Mill Goudy" w:eastAsia="Sorts Mill Goudy" w:hAnsi="Sorts Mill Goudy"/>
                <w:b w:val="1"/>
                <w:i w:val="1"/>
                <w:sz w:val="22"/>
                <w:szCs w:val="22"/>
              </w:rPr>
            </w:pPr>
            <w:r w:rsidDel="00000000" w:rsidR="00000000" w:rsidRPr="00000000">
              <w:rPr>
                <w:rFonts w:ascii="Sorts Mill Goudy" w:cs="Sorts Mill Goudy" w:eastAsia="Sorts Mill Goudy" w:hAnsi="Sorts Mill Goudy"/>
                <w:b w:val="1"/>
                <w:i w:val="1"/>
                <w:sz w:val="22"/>
                <w:szCs w:val="22"/>
                <w:rtl w:val="0"/>
              </w:rPr>
              <w:t xml:space="preserve">Percorsi di potenziamento delle competenze di base, di motivazione e accompagnamento</w:t>
            </w:r>
          </w:p>
          <w:p w:rsidR="00000000" w:rsidDel="00000000" w:rsidP="00000000" w:rsidRDefault="00000000" w:rsidRPr="00000000" w14:paraId="00000070">
            <w:pPr>
              <w:ind w:left="14" w:right="5" w:firstLine="0"/>
              <w:jc w:val="both"/>
              <w:rPr>
                <w:rFonts w:ascii="Sorts Mill Goudy" w:cs="Sorts Mill Goudy" w:eastAsia="Sorts Mill Goudy" w:hAnsi="Sorts Mill Goudy"/>
                <w:sz w:val="22"/>
                <w:szCs w:val="22"/>
              </w:rPr>
            </w:pPr>
            <w:r w:rsidDel="00000000" w:rsidR="00000000" w:rsidRPr="00000000">
              <w:rPr>
                <w:rFonts w:ascii="Sorts Mill Goudy" w:cs="Sorts Mill Goudy" w:eastAsia="Sorts Mill Goudy" w:hAnsi="Sorts Mill Goudy"/>
                <w:sz w:val="22"/>
                <w:szCs w:val="22"/>
                <w:rtl w:val="0"/>
              </w:rPr>
              <w:t xml:space="preserve">Le studentesse e gli studenti che mostrano particolari fragilità disciplinari sono accompagnati attraverso percorsi di potenziamento delle competenze di base, di motivazione e rimotivazione e di accompagnamento ad una maggiore capacità di attenzione e impegno, erogati a piccoli gruppi.</w:t>
            </w:r>
          </w:p>
        </w:tc>
        <w:tc>
          <w:tcPr/>
          <w:p w:rsidR="00000000" w:rsidDel="00000000" w:rsidP="00000000" w:rsidRDefault="00000000" w:rsidRPr="00000000" w14:paraId="00000071">
            <w:pPr>
              <w:ind w:left="107" w:firstLine="0"/>
              <w:rPr>
                <w:b w:val="1"/>
                <w:sz w:val="18"/>
                <w:szCs w:val="18"/>
              </w:rPr>
            </w:pPr>
            <w:r w:rsidDel="00000000" w:rsidR="00000000" w:rsidRPr="00000000">
              <w:rPr>
                <w:rtl w:val="0"/>
              </w:rPr>
            </w:r>
          </w:p>
          <w:p w:rsidR="00000000" w:rsidDel="00000000" w:rsidP="00000000" w:rsidRDefault="00000000" w:rsidRPr="00000000" w14:paraId="00000072">
            <w:pPr>
              <w:ind w:left="107" w:firstLine="0"/>
              <w:rPr>
                <w:b w:val="1"/>
                <w:sz w:val="18"/>
                <w:szCs w:val="18"/>
              </w:rPr>
            </w:pPr>
            <w:r w:rsidDel="00000000" w:rsidR="00000000" w:rsidRPr="00000000">
              <w:rPr>
                <w:rtl w:val="0"/>
              </w:rPr>
            </w:r>
          </w:p>
          <w:p w:rsidR="00000000" w:rsidDel="00000000" w:rsidP="00000000" w:rsidRDefault="00000000" w:rsidRPr="00000000" w14:paraId="00000073">
            <w:pPr>
              <w:spacing w:before="1" w:lineRule="auto"/>
              <w:ind w:left="107" w:firstLine="0"/>
              <w:rPr>
                <w:b w:val="1"/>
                <w:sz w:val="18"/>
                <w:szCs w:val="18"/>
              </w:rPr>
            </w:pPr>
            <w:r w:rsidDel="00000000" w:rsidR="00000000" w:rsidRPr="00000000">
              <w:rPr>
                <w:rtl w:val="0"/>
              </w:rPr>
            </w:r>
          </w:p>
          <w:p w:rsidR="00000000" w:rsidDel="00000000" w:rsidP="00000000" w:rsidRDefault="00000000" w:rsidRPr="00000000" w14:paraId="00000074">
            <w:pPr>
              <w:spacing w:before="1" w:lineRule="auto"/>
              <w:ind w:left="449" w:right="441" w:firstLine="0"/>
              <w:jc w:val="center"/>
              <w:rPr>
                <w:sz w:val="18"/>
                <w:szCs w:val="18"/>
              </w:rPr>
            </w:pPr>
            <w:r w:rsidDel="00000000" w:rsidR="00000000" w:rsidRPr="00000000">
              <w:rPr>
                <w:sz w:val="18"/>
                <w:szCs w:val="18"/>
                <w:rtl w:val="0"/>
              </w:rPr>
              <w:t xml:space="preserve">Piccoli gruppi</w:t>
            </w:r>
          </w:p>
        </w:tc>
        <w:tc>
          <w:tcPr/>
          <w:p w:rsidR="00000000" w:rsidDel="00000000" w:rsidP="00000000" w:rsidRDefault="00000000" w:rsidRPr="00000000" w14:paraId="00000075">
            <w:pPr>
              <w:ind w:left="107" w:firstLine="0"/>
              <w:jc w:val="center"/>
              <w:rPr>
                <w:b w:val="1"/>
                <w:sz w:val="18"/>
                <w:szCs w:val="18"/>
              </w:rPr>
            </w:pPr>
            <w:r w:rsidDel="00000000" w:rsidR="00000000" w:rsidRPr="00000000">
              <w:rPr>
                <w:rtl w:val="0"/>
              </w:rPr>
            </w:r>
          </w:p>
          <w:p w:rsidR="00000000" w:rsidDel="00000000" w:rsidP="00000000" w:rsidRDefault="00000000" w:rsidRPr="00000000" w14:paraId="00000076">
            <w:pPr>
              <w:ind w:left="107" w:firstLine="0"/>
              <w:jc w:val="center"/>
              <w:rPr>
                <w:b w:val="1"/>
                <w:sz w:val="18"/>
                <w:szCs w:val="18"/>
              </w:rPr>
            </w:pPr>
            <w:r w:rsidDel="00000000" w:rsidR="00000000" w:rsidRPr="00000000">
              <w:rPr>
                <w:rtl w:val="0"/>
              </w:rPr>
            </w:r>
          </w:p>
          <w:p w:rsidR="00000000" w:rsidDel="00000000" w:rsidP="00000000" w:rsidRDefault="00000000" w:rsidRPr="00000000" w14:paraId="00000077">
            <w:pPr>
              <w:ind w:left="107" w:firstLine="0"/>
              <w:jc w:val="center"/>
              <w:rPr>
                <w:b w:val="1"/>
                <w:sz w:val="18"/>
                <w:szCs w:val="18"/>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78">
            <w:pPr>
              <w:spacing w:before="15" w:lineRule="auto"/>
              <w:ind w:left="14" w:firstLine="0"/>
              <w:rPr>
                <w:rFonts w:ascii="Sorts Mill Goudy" w:cs="Sorts Mill Goudy" w:eastAsia="Sorts Mill Goudy" w:hAnsi="Sorts Mill Goudy"/>
                <w:b w:val="1"/>
                <w:i w:val="1"/>
                <w:sz w:val="22"/>
                <w:szCs w:val="22"/>
              </w:rPr>
            </w:pPr>
            <w:r w:rsidDel="00000000" w:rsidR="00000000" w:rsidRPr="00000000">
              <w:rPr>
                <w:rFonts w:ascii="Sorts Mill Goudy" w:cs="Sorts Mill Goudy" w:eastAsia="Sorts Mill Goudy" w:hAnsi="Sorts Mill Goudy"/>
                <w:b w:val="1"/>
                <w:i w:val="1"/>
                <w:sz w:val="22"/>
                <w:szCs w:val="22"/>
                <w:rtl w:val="0"/>
              </w:rPr>
              <w:t xml:space="preserve">Percorsi di orientamento per le famiglie</w:t>
            </w:r>
          </w:p>
          <w:p w:rsidR="00000000" w:rsidDel="00000000" w:rsidP="00000000" w:rsidRDefault="00000000" w:rsidRPr="00000000" w14:paraId="00000079">
            <w:pPr>
              <w:spacing w:line="237" w:lineRule="auto"/>
              <w:ind w:left="14" w:firstLine="0"/>
              <w:rPr>
                <w:rFonts w:ascii="Sorts Mill Goudy" w:cs="Sorts Mill Goudy" w:eastAsia="Sorts Mill Goudy" w:hAnsi="Sorts Mill Goudy"/>
                <w:sz w:val="22"/>
                <w:szCs w:val="22"/>
              </w:rPr>
            </w:pPr>
            <w:r w:rsidDel="00000000" w:rsidR="00000000" w:rsidRPr="00000000">
              <w:rPr>
                <w:rFonts w:ascii="Sorts Mill Goudy" w:cs="Sorts Mill Goudy" w:eastAsia="Sorts Mill Goudy" w:hAnsi="Sorts Mill Goudy"/>
                <w:sz w:val="22"/>
                <w:szCs w:val="22"/>
                <w:rtl w:val="0"/>
              </w:rPr>
              <w:t xml:space="preserve">Per coinvolgere le famiglie nel concorrere al contrasto dell’abbandono scolastico e per favorire una loro partecipazione attiva sono attuati percorsi di orientamento erogati a piccoli gruppi di genitori.</w:t>
            </w:r>
          </w:p>
        </w:tc>
        <w:tc>
          <w:tcPr/>
          <w:p w:rsidR="00000000" w:rsidDel="00000000" w:rsidP="00000000" w:rsidRDefault="00000000" w:rsidRPr="00000000" w14:paraId="0000007A">
            <w:pPr>
              <w:ind w:left="107" w:firstLine="0"/>
              <w:rPr>
                <w:b w:val="1"/>
                <w:sz w:val="18"/>
                <w:szCs w:val="18"/>
              </w:rPr>
            </w:pPr>
            <w:r w:rsidDel="00000000" w:rsidR="00000000" w:rsidRPr="00000000">
              <w:rPr>
                <w:rtl w:val="0"/>
              </w:rPr>
            </w:r>
          </w:p>
          <w:p w:rsidR="00000000" w:rsidDel="00000000" w:rsidP="00000000" w:rsidRDefault="00000000" w:rsidRPr="00000000" w14:paraId="0000007B">
            <w:pPr>
              <w:spacing w:before="10" w:lineRule="auto"/>
              <w:ind w:left="107" w:firstLine="0"/>
              <w:rPr>
                <w:b w:val="1"/>
                <w:sz w:val="18"/>
                <w:szCs w:val="18"/>
              </w:rPr>
            </w:pPr>
            <w:r w:rsidDel="00000000" w:rsidR="00000000" w:rsidRPr="00000000">
              <w:rPr>
                <w:rtl w:val="0"/>
              </w:rPr>
            </w:r>
          </w:p>
          <w:p w:rsidR="00000000" w:rsidDel="00000000" w:rsidP="00000000" w:rsidRDefault="00000000" w:rsidRPr="00000000" w14:paraId="0000007C">
            <w:pPr>
              <w:spacing w:before="1" w:lineRule="auto"/>
              <w:ind w:left="449" w:right="441" w:firstLine="0"/>
              <w:jc w:val="center"/>
              <w:rPr>
                <w:sz w:val="18"/>
                <w:szCs w:val="18"/>
              </w:rPr>
            </w:pPr>
            <w:r w:rsidDel="00000000" w:rsidR="00000000" w:rsidRPr="00000000">
              <w:rPr>
                <w:sz w:val="18"/>
                <w:szCs w:val="18"/>
                <w:rtl w:val="0"/>
              </w:rPr>
              <w:t xml:space="preserve">Piccoli gruppi</w:t>
            </w:r>
          </w:p>
        </w:tc>
        <w:tc>
          <w:tcPr/>
          <w:p w:rsidR="00000000" w:rsidDel="00000000" w:rsidP="00000000" w:rsidRDefault="00000000" w:rsidRPr="00000000" w14:paraId="0000007D">
            <w:pPr>
              <w:ind w:left="107" w:firstLine="0"/>
              <w:jc w:val="center"/>
              <w:rPr>
                <w:b w:val="1"/>
                <w:sz w:val="18"/>
                <w:szCs w:val="18"/>
              </w:rPr>
            </w:pPr>
            <w:r w:rsidDel="00000000" w:rsidR="00000000" w:rsidRPr="00000000">
              <w:rPr>
                <w:rtl w:val="0"/>
              </w:rPr>
            </w:r>
          </w:p>
          <w:p w:rsidR="00000000" w:rsidDel="00000000" w:rsidP="00000000" w:rsidRDefault="00000000" w:rsidRPr="00000000" w14:paraId="0000007E">
            <w:pPr>
              <w:ind w:left="107" w:firstLine="0"/>
              <w:jc w:val="center"/>
              <w:rPr>
                <w:b w:val="1"/>
                <w:sz w:val="18"/>
                <w:szCs w:val="18"/>
              </w:rPr>
            </w:pPr>
            <w:r w:rsidDel="00000000" w:rsidR="00000000" w:rsidRPr="00000000">
              <w:rPr>
                <w:rtl w:val="0"/>
              </w:rPr>
            </w:r>
          </w:p>
          <w:p w:rsidR="00000000" w:rsidDel="00000000" w:rsidP="00000000" w:rsidRDefault="00000000" w:rsidRPr="00000000" w14:paraId="0000007F">
            <w:pPr>
              <w:ind w:left="107" w:firstLine="0"/>
              <w:jc w:val="center"/>
              <w:rPr>
                <w:b w:val="1"/>
                <w:sz w:val="18"/>
                <w:szCs w:val="18"/>
              </w:rPr>
            </w:pPr>
            <w:r w:rsidDel="00000000" w:rsidR="00000000" w:rsidRPr="00000000">
              <w:rPr>
                <w:rtl w:val="0"/>
              </w:rPr>
            </w:r>
          </w:p>
        </w:tc>
      </w:tr>
      <w:tr>
        <w:trPr>
          <w:cantSplit w:val="0"/>
          <w:trHeight w:val="1419" w:hRule="atLeast"/>
          <w:tblHeader w:val="0"/>
        </w:trPr>
        <w:tc>
          <w:tcPr/>
          <w:p w:rsidR="00000000" w:rsidDel="00000000" w:rsidP="00000000" w:rsidRDefault="00000000" w:rsidRPr="00000000" w14:paraId="00000080">
            <w:pPr>
              <w:spacing w:before="20" w:lineRule="auto"/>
              <w:ind w:left="14" w:firstLine="0"/>
              <w:jc w:val="both"/>
              <w:rPr>
                <w:rFonts w:ascii="Sorts Mill Goudy" w:cs="Sorts Mill Goudy" w:eastAsia="Sorts Mill Goudy" w:hAnsi="Sorts Mill Goudy"/>
                <w:b w:val="1"/>
                <w:i w:val="1"/>
                <w:sz w:val="22"/>
                <w:szCs w:val="22"/>
              </w:rPr>
            </w:pPr>
            <w:r w:rsidDel="00000000" w:rsidR="00000000" w:rsidRPr="00000000">
              <w:rPr>
                <w:rFonts w:ascii="Sorts Mill Goudy" w:cs="Sorts Mill Goudy" w:eastAsia="Sorts Mill Goudy" w:hAnsi="Sorts Mill Goudy"/>
                <w:b w:val="1"/>
                <w:i w:val="1"/>
                <w:sz w:val="22"/>
                <w:szCs w:val="22"/>
                <w:rtl w:val="0"/>
              </w:rPr>
              <w:t xml:space="preserve">Percorsi formativi e laboratoriali extracurriculari</w:t>
            </w:r>
          </w:p>
          <w:p w:rsidR="00000000" w:rsidDel="00000000" w:rsidP="00000000" w:rsidRDefault="00000000" w:rsidRPr="00000000" w14:paraId="00000081">
            <w:pPr>
              <w:ind w:left="14" w:right="6" w:firstLine="0"/>
              <w:jc w:val="both"/>
              <w:rPr>
                <w:rFonts w:ascii="Sorts Mill Goudy" w:cs="Sorts Mill Goudy" w:eastAsia="Sorts Mill Goudy" w:hAnsi="Sorts Mill Goudy"/>
                <w:sz w:val="22"/>
                <w:szCs w:val="22"/>
              </w:rPr>
            </w:pPr>
            <w:r w:rsidDel="00000000" w:rsidR="00000000" w:rsidRPr="00000000">
              <w:rPr>
                <w:rFonts w:ascii="Sorts Mill Goudy" w:cs="Sorts Mill Goudy" w:eastAsia="Sorts Mill Goudy" w:hAnsi="Sorts Mill Goudy"/>
                <w:sz w:val="22"/>
                <w:szCs w:val="22"/>
                <w:rtl w:val="0"/>
              </w:rPr>
              <w:t xml:space="preserve">Tale attività si riferisce a percorsi formativi e laboratoriali extracurriculari, afferenti a diverse discipline e tematiche in coerenza con gli obiettivi specifici dell’intervento progettato dalla scuola, anche in rete con il territorio.</w:t>
            </w:r>
          </w:p>
          <w:p w:rsidR="00000000" w:rsidDel="00000000" w:rsidP="00000000" w:rsidRDefault="00000000" w:rsidRPr="00000000" w14:paraId="00000082">
            <w:pPr>
              <w:spacing w:before="5" w:line="237" w:lineRule="auto"/>
              <w:ind w:left="14" w:right="6" w:firstLine="0"/>
              <w:jc w:val="both"/>
              <w:rPr>
                <w:rFonts w:ascii="Sorts Mill Goudy" w:cs="Sorts Mill Goudy" w:eastAsia="Sorts Mill Goudy" w:hAnsi="Sorts Mill Goudy"/>
                <w:sz w:val="22"/>
                <w:szCs w:val="22"/>
              </w:rPr>
            </w:pPr>
            <w:r w:rsidDel="00000000" w:rsidR="00000000" w:rsidRPr="00000000">
              <w:rPr>
                <w:rFonts w:ascii="Sorts Mill Goudy" w:cs="Sorts Mill Goudy" w:eastAsia="Sorts Mill Goudy" w:hAnsi="Sorts Mill Goudy"/>
                <w:sz w:val="22"/>
                <w:szCs w:val="22"/>
                <w:rtl w:val="0"/>
              </w:rPr>
              <w:t xml:space="preserve">I percorsi per studenti possono essere di volta in volta autonomamente definiti (disciplinari, interdisciplinari, cinema, teatro, sport, musica, etc.).</w:t>
            </w:r>
          </w:p>
        </w:tc>
        <w:tc>
          <w:tcPr/>
          <w:p w:rsidR="00000000" w:rsidDel="00000000" w:rsidP="00000000" w:rsidRDefault="00000000" w:rsidRPr="00000000" w14:paraId="00000083">
            <w:pPr>
              <w:ind w:left="107" w:firstLine="0"/>
              <w:rPr>
                <w:b w:val="1"/>
                <w:sz w:val="18"/>
                <w:szCs w:val="18"/>
              </w:rPr>
            </w:pPr>
            <w:r w:rsidDel="00000000" w:rsidR="00000000" w:rsidRPr="00000000">
              <w:rPr>
                <w:rtl w:val="0"/>
              </w:rPr>
            </w:r>
          </w:p>
          <w:p w:rsidR="00000000" w:rsidDel="00000000" w:rsidP="00000000" w:rsidRDefault="00000000" w:rsidRPr="00000000" w14:paraId="00000084">
            <w:pPr>
              <w:ind w:left="107" w:firstLine="0"/>
              <w:rPr>
                <w:b w:val="1"/>
                <w:sz w:val="18"/>
                <w:szCs w:val="18"/>
              </w:rPr>
            </w:pPr>
            <w:r w:rsidDel="00000000" w:rsidR="00000000" w:rsidRPr="00000000">
              <w:rPr>
                <w:rtl w:val="0"/>
              </w:rPr>
            </w:r>
          </w:p>
          <w:p w:rsidR="00000000" w:rsidDel="00000000" w:rsidP="00000000" w:rsidRDefault="00000000" w:rsidRPr="00000000" w14:paraId="00000085">
            <w:pPr>
              <w:spacing w:before="1" w:lineRule="auto"/>
              <w:ind w:left="107" w:firstLine="0"/>
              <w:rPr>
                <w:b w:val="1"/>
                <w:sz w:val="18"/>
                <w:szCs w:val="18"/>
              </w:rPr>
            </w:pPr>
            <w:r w:rsidDel="00000000" w:rsidR="00000000" w:rsidRPr="00000000">
              <w:rPr>
                <w:rtl w:val="0"/>
              </w:rPr>
            </w:r>
          </w:p>
          <w:p w:rsidR="00000000" w:rsidDel="00000000" w:rsidP="00000000" w:rsidRDefault="00000000" w:rsidRPr="00000000" w14:paraId="00000086">
            <w:pPr>
              <w:spacing w:before="1" w:lineRule="auto"/>
              <w:ind w:left="449" w:right="441" w:firstLine="0"/>
              <w:jc w:val="center"/>
              <w:rPr>
                <w:sz w:val="18"/>
                <w:szCs w:val="18"/>
              </w:rPr>
            </w:pPr>
            <w:r w:rsidDel="00000000" w:rsidR="00000000" w:rsidRPr="00000000">
              <w:rPr>
                <w:sz w:val="18"/>
                <w:szCs w:val="18"/>
                <w:rtl w:val="0"/>
              </w:rPr>
              <w:t xml:space="preserve">Gruppi</w:t>
            </w:r>
          </w:p>
        </w:tc>
        <w:tc>
          <w:tcPr/>
          <w:p w:rsidR="00000000" w:rsidDel="00000000" w:rsidP="00000000" w:rsidRDefault="00000000" w:rsidRPr="00000000" w14:paraId="00000087">
            <w:pPr>
              <w:ind w:left="107" w:firstLine="0"/>
              <w:jc w:val="center"/>
              <w:rPr>
                <w:b w:val="1"/>
                <w:sz w:val="18"/>
                <w:szCs w:val="18"/>
              </w:rPr>
            </w:pPr>
            <w:r w:rsidDel="00000000" w:rsidR="00000000" w:rsidRPr="00000000">
              <w:rPr>
                <w:rtl w:val="0"/>
              </w:rPr>
            </w:r>
          </w:p>
          <w:p w:rsidR="00000000" w:rsidDel="00000000" w:rsidP="00000000" w:rsidRDefault="00000000" w:rsidRPr="00000000" w14:paraId="00000088">
            <w:pPr>
              <w:ind w:left="107" w:firstLine="0"/>
              <w:jc w:val="center"/>
              <w:rPr>
                <w:b w:val="1"/>
                <w:sz w:val="18"/>
                <w:szCs w:val="18"/>
              </w:rPr>
            </w:pPr>
            <w:r w:rsidDel="00000000" w:rsidR="00000000" w:rsidRPr="00000000">
              <w:rPr>
                <w:rtl w:val="0"/>
              </w:rPr>
            </w:r>
          </w:p>
          <w:p w:rsidR="00000000" w:rsidDel="00000000" w:rsidP="00000000" w:rsidRDefault="00000000" w:rsidRPr="00000000" w14:paraId="00000089">
            <w:pPr>
              <w:ind w:left="107" w:firstLine="0"/>
              <w:jc w:val="center"/>
              <w:rPr>
                <w:b w:val="1"/>
                <w:sz w:val="18"/>
                <w:szCs w:val="18"/>
              </w:rPr>
            </w:pPr>
            <w:r w:rsidDel="00000000" w:rsidR="00000000" w:rsidRPr="00000000">
              <w:rPr>
                <w:rtl w:val="0"/>
              </w:rPr>
            </w:r>
          </w:p>
        </w:tc>
      </w:tr>
    </w:tbl>
    <w:p w:rsidR="00000000" w:rsidDel="00000000" w:rsidP="00000000" w:rsidRDefault="00000000" w:rsidRPr="00000000" w14:paraId="0000008A">
      <w:pPr>
        <w:pStyle w:val="Heading2"/>
        <w:keepNext w:val="0"/>
        <w:spacing w:after="240" w:lineRule="auto"/>
        <w:ind w:left="476" w:right="686" w:firstLine="0"/>
        <w:jc w:val="center"/>
        <w:rPr>
          <w:rFonts w:ascii="Sorts Mill Goudy" w:cs="Sorts Mill Goudy" w:eastAsia="Sorts Mill Goudy" w:hAnsi="Sorts Mill Goudy"/>
        </w:rPr>
      </w:pPr>
      <w:bookmarkStart w:colFirst="0" w:colLast="0" w:name="_cvn0llgn1ch2" w:id="0"/>
      <w:bookmarkEnd w:id="0"/>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target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milestone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progetto, ed espletate in maniera specifica per assicurare le condizioni di realizzazione del progetto indicato in premessa.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«Spese ammissibili».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dell’incarico è di …… (numero) ore massimo, a decorrere dalla data di conferimento dell’incarico fino al 31/12/2024;</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l’Incarico conferito è pattuito un corrispettivo lordo stato pari 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euro xx,00 l’ora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un massimo di …… ore. L’importo lordo stato, corrispondente a un massimo di euro 00000,00, sarà rapportato alle ore effettivamente prestate fuori dall’orario di servizio, come risultanti dal timesheet che l’Incaricato dovrà compilare.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
        </w:tabs>
        <w:spacing w:after="0" w:before="118" w:line="276" w:lineRule="auto"/>
        <w:ind w:left="180" w:right="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corrispettivo di cui al presente articolo sarà corrisposto dall’Istituto, previo svolgimento delle attività previste e presentazione del relativo timesheet sulle giornate/ore effettivamente svolte, compatibilmente con l’assegnazione delle risorse da parte dell’Unità di missione del PNRR del Ministero dell’istruzione e del merito.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w:t>
      </w:r>
    </w:p>
    <w:p w:rsidR="00000000" w:rsidDel="00000000" w:rsidP="00000000" w:rsidRDefault="00000000" w:rsidRPr="00000000" w14:paraId="0000009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4"/>
        </w:tabs>
        <w:spacing w:after="0" w:before="0" w:line="240" w:lineRule="auto"/>
        <w:ind w:left="473"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Decreto di individuazione/costituzione del team;</w:t>
      </w:r>
    </w:p>
    <w:p w:rsidR="00000000" w:rsidDel="00000000" w:rsidP="00000000" w:rsidRDefault="00000000" w:rsidRPr="00000000" w14:paraId="0000009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4"/>
        </w:tabs>
        <w:spacing w:after="0" w:before="0" w:line="240" w:lineRule="auto"/>
        <w:ind w:left="473" w:right="0" w:hanging="361"/>
        <w:jc w:val="left"/>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dell’Incaricato;</w:t>
      </w:r>
    </w:p>
    <w:p w:rsidR="00000000" w:rsidDel="00000000" w:rsidP="00000000" w:rsidRDefault="00000000" w:rsidRPr="00000000" w14:paraId="0000009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4"/>
        </w:tabs>
        <w:spacing w:after="0" w:before="0" w:line="480" w:lineRule="auto"/>
        <w:ind w:left="112" w:right="-28" w:firstLine="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nteressi.</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4"/>
        </w:tabs>
        <w:spacing w:after="0" w:before="0" w:line="480" w:lineRule="auto"/>
        <w:ind w:left="821" w:right="-28" w:hanging="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4"/>
        </w:tabs>
        <w:spacing w:after="0" w:before="0" w:line="480" w:lineRule="auto"/>
        <w:ind w:left="821" w:right="-28" w:hanging="2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73" w:right="352" w:hanging="361"/>
        <w:jc w:val="cente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Dirigente Scolastico</w:t>
      </w:r>
    </w:p>
    <w:p w:rsidR="00000000" w:rsidDel="00000000" w:rsidP="00000000" w:rsidRDefault="00000000" w:rsidRPr="00000000" w14:paraId="000000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73" w:right="352" w:hanging="361"/>
        <w:jc w:val="cente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xxxxxxxxxx</w:t>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73" w:right="352" w:hanging="361"/>
        <w:jc w:val="cente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Firmato digitalmente ai sensi D. Lgs. 82/2005 e norme collegate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112" w:right="1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112" w:right="1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112" w:right="1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Il documento è firmato digitalmente ai sensi del D.Lgs. 82/2005 s.m.i. e norme collegate e sostituisce il documento cartaceo e la firma autografa.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accettazione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40" w:w="11910" w:orient="portrait"/>
      <w:pgMar w:bottom="993" w:top="993" w:left="1020" w:right="9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embedRegular w:fontKey="{00000000-0000-0000-0000-000000000000}" r:id="rId1" w:subsetted="0"/>
    <w:embedBold w:fontKey="{00000000-0000-0000-0000-000000000000}" r:id="rId2" w:subsetted="0"/>
  </w:font>
  <w:font w:name="Sorts Mill Goudy">
    <w:embedRegular w:fontKey="{00000000-0000-0000-0000-000000000000}" r:id="rId3" w:subsetted="0"/>
    <w:embe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0"/>
      <w:numFmt w:val="bullet"/>
      <w:lvlText w:val="-"/>
      <w:lvlJc w:val="left"/>
      <w:pPr>
        <w:ind w:left="544" w:hanging="361"/>
      </w:pPr>
      <w:rPr>
        <w:rFonts w:ascii="Arial" w:cs="Arial" w:eastAsia="Arial" w:hAnsi="Arial"/>
        <w:b w:val="0"/>
        <w:i w:val="0"/>
        <w:sz w:val="22"/>
        <w:szCs w:val="22"/>
      </w:rPr>
    </w:lvl>
    <w:lvl w:ilvl="1">
      <w:start w:val="0"/>
      <w:numFmt w:val="bullet"/>
      <w:lvlText w:val="●"/>
      <w:lvlJc w:val="left"/>
      <w:pPr>
        <w:ind w:left="1317" w:hanging="360.0000000000001"/>
      </w:pPr>
      <w:rPr>
        <w:rFonts w:ascii="Noto Sans Symbols" w:cs="Noto Sans Symbols" w:eastAsia="Noto Sans Symbols" w:hAnsi="Noto Sans Symbols"/>
        <w:b w:val="0"/>
        <w:i w:val="0"/>
        <w:sz w:val="22"/>
        <w:szCs w:val="22"/>
      </w:rPr>
    </w:lvl>
    <w:lvl w:ilvl="2">
      <w:start w:val="0"/>
      <w:numFmt w:val="bullet"/>
      <w:lvlText w:val="•"/>
      <w:lvlJc w:val="left"/>
      <w:pPr>
        <w:ind w:left="2349" w:hanging="360"/>
      </w:pPr>
      <w:rPr/>
    </w:lvl>
    <w:lvl w:ilvl="3">
      <w:start w:val="0"/>
      <w:numFmt w:val="bullet"/>
      <w:lvlText w:val="•"/>
      <w:lvlJc w:val="left"/>
      <w:pPr>
        <w:ind w:left="3379" w:hanging="360"/>
      </w:pPr>
      <w:rPr/>
    </w:lvl>
    <w:lvl w:ilvl="4">
      <w:start w:val="0"/>
      <w:numFmt w:val="bullet"/>
      <w:lvlText w:val="•"/>
      <w:lvlJc w:val="left"/>
      <w:pPr>
        <w:ind w:left="4408" w:hanging="360"/>
      </w:pPr>
      <w:rPr/>
    </w:lvl>
    <w:lvl w:ilvl="5">
      <w:start w:val="0"/>
      <w:numFmt w:val="bullet"/>
      <w:lvlText w:val="•"/>
      <w:lvlJc w:val="left"/>
      <w:pPr>
        <w:ind w:left="5438" w:hanging="360"/>
      </w:pPr>
      <w:rPr/>
    </w:lvl>
    <w:lvl w:ilvl="6">
      <w:start w:val="0"/>
      <w:numFmt w:val="bullet"/>
      <w:lvlText w:val="•"/>
      <w:lvlJc w:val="left"/>
      <w:pPr>
        <w:ind w:left="6468" w:hanging="360"/>
      </w:pPr>
      <w:rPr/>
    </w:lvl>
    <w:lvl w:ilvl="7">
      <w:start w:val="0"/>
      <w:numFmt w:val="bullet"/>
      <w:lvlText w:val="•"/>
      <w:lvlJc w:val="left"/>
      <w:pPr>
        <w:ind w:left="7497" w:hanging="360"/>
      </w:pPr>
      <w:rPr/>
    </w:lvl>
    <w:lvl w:ilvl="8">
      <w:start w:val="0"/>
      <w:numFmt w:val="bullet"/>
      <w:lvlText w:val="•"/>
      <w:lvlJc w:val="left"/>
      <w:pPr>
        <w:ind w:left="8527" w:hanging="360"/>
      </w:pPr>
      <w:rPr/>
    </w:lvl>
  </w:abstractNum>
  <w:abstractNum w:abstractNumId="3">
    <w:lvl w:ilvl="0">
      <w:start w:val="1"/>
      <w:numFmt w:val="bullet"/>
      <w:lvlText w:val="▪"/>
      <w:lvlJc w:val="left"/>
      <w:pPr>
        <w:ind w:left="473" w:hanging="473"/>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1"/>
      <w:numFmt w:val="decimal"/>
      <w:lvlText w:val="%2."/>
      <w:lvlJc w:val="left"/>
      <w:pPr>
        <w:ind w:left="540" w:hanging="540"/>
      </w:pPr>
      <w:rPr>
        <w:rFonts w:ascii="Calibri" w:cs="Calibri" w:eastAsia="Calibri" w:hAnsi="Calibri"/>
        <w:b w:val="0"/>
        <w:i w:val="0"/>
        <w:smallCaps w:val="0"/>
        <w:strike w:val="0"/>
        <w:color w:val="000000"/>
        <w:sz w:val="22"/>
        <w:szCs w:val="22"/>
        <w:u w:val="none"/>
        <w:shd w:fill="auto" w:val="clear"/>
        <w:vertAlign w:val="baseline"/>
      </w:rPr>
    </w:lvl>
    <w:lvl w:ilvl="2">
      <w:start w:val="1"/>
      <w:numFmt w:val="lowerLetter"/>
      <w:lvlText w:val="%3."/>
      <w:lvlJc w:val="left"/>
      <w:pPr>
        <w:ind w:left="821" w:hanging="821"/>
      </w:pPr>
      <w:rPr>
        <w:rFonts w:ascii="Calibri" w:cs="Calibri" w:eastAsia="Calibri" w:hAnsi="Calibri"/>
        <w:b w:val="0"/>
        <w:i w:val="0"/>
        <w:smallCaps w:val="0"/>
        <w:strike w:val="0"/>
        <w:color w:val="000000"/>
        <w:sz w:val="22"/>
        <w:szCs w:val="22"/>
        <w:u w:val="none"/>
        <w:shd w:fill="auto" w:val="clear"/>
        <w:vertAlign w:val="baseline"/>
      </w:rPr>
    </w:lvl>
    <w:lvl w:ilvl="3">
      <w:start w:val="1"/>
      <w:numFmt w:val="bullet"/>
      <w:lvlText w:val="•"/>
      <w:lvlJc w:val="left"/>
      <w:pPr>
        <w:ind w:left="1951" w:hanging="195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082" w:hanging="308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213" w:hanging="421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343" w:hanging="534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474" w:hanging="647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605" w:hanging="760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pPr>
    <w:rPr>
      <w:rFonts w:ascii="Calibri" w:cs="Calibri" w:eastAsia="Calibri" w:hAnsi="Calibri"/>
      <w:b w:val="1"/>
      <w:smallCaps w:val="0"/>
      <w:sz w:val="22"/>
      <w:szCs w:val="2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tsMillGoudy-regular.ttf"/><Relationship Id="rId4"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