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SITUAZIONE OCCUPAZIONALE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Art. 103 D.LGS 50/2016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RELAZIONE ALLA DICHIARAZIONE SITUAZIONE OCCUPAZIONALE (ai sensi dell’art. 47 della legge 108/2021) E agli obblighi di cui all’art. 46 della L. 198/2006</w:t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che l’impresa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meno di 15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essere soggetto alla redazione del rapporto di cui all’articolo 46 della legge 198/2006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14 ma meno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ss.mm.ii)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123825</wp:posOffset>
              </wp:positionV>
              <wp:extent cx="7200900" cy="80667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900" cy="806675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123825</wp:posOffset>
              </wp:positionV>
              <wp:extent cx="7200900" cy="80667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0" cy="80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</w:p>
  <w:p w:rsidR="00000000" w:rsidDel="00000000" w:rsidP="00000000" w:rsidRDefault="00000000" w:rsidRPr="00000000" w14:paraId="0000002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A7x5UajPBAY+rl1vK+Z6FzM0g==">CgMxLjAyCGguZ2pkZ3hzOAByITE2LWhxbUtHNENEZ2h0MHJxbGRlNHhUcUdHYkdqSG1oUw==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2023-05-20T16:21:00Z</dcterms:created>
</cp:coreProperties>
</file>