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80"/>
        </w:tabs>
        <w:spacing w:after="160" w:line="259" w:lineRule="auto"/>
        <w:rPr>
          <w:sz w:val="22"/>
          <w:szCs w:val="22"/>
        </w:rPr>
      </w:pPr>
      <w:r w:rsidDel="00000000" w:rsidR="00000000" w:rsidRPr="00000000">
        <w:rPr>
          <w:rtl w:val="0"/>
        </w:rPr>
      </w:r>
    </w:p>
    <w:p w:rsidR="00000000" w:rsidDel="00000000" w:rsidP="00000000" w:rsidRDefault="00000000" w:rsidRPr="00000000" w14:paraId="00000002">
      <w:pPr>
        <w:spacing w:after="144" w:before="144"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DICHIARAZIONE DI INESISTENZA DI CAUSA DI INCOMPATIBILITA’, DI CONFLITTO DI INTERESSI E DI ASTENSIONE</w:t>
      </w:r>
    </w:p>
    <w:p w:rsidR="00000000" w:rsidDel="00000000" w:rsidP="00000000" w:rsidRDefault="00000000" w:rsidRPr="00000000" w14:paraId="00000003">
      <w:pPr>
        <w:spacing w:after="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(resa nelle forme di cui agli artt. 46 e 47 del d.P.R. n. 445 del 28 dicembre 2000)</w:t>
      </w:r>
    </w:p>
    <w:p w:rsidR="00000000" w:rsidDel="00000000" w:rsidP="00000000" w:rsidRDefault="00000000" w:rsidRPr="00000000" w14:paraId="00000004">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PIANO NAZIONALE DI RIPRESA E RESILIENZA (PNRR)</w:t>
      </w:r>
    </w:p>
    <w:p w:rsidR="00000000" w:rsidDel="00000000" w:rsidP="00000000" w:rsidRDefault="00000000" w:rsidRPr="00000000" w14:paraId="00000005">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smallCaps w:val="1"/>
        </w:rPr>
      </w:pPr>
      <w:r w:rsidDel="00000000" w:rsidR="00000000" w:rsidRPr="00000000">
        <w:rPr>
          <w:rFonts w:ascii="Calibri" w:cs="Calibri" w:eastAsia="Calibri" w:hAnsi="Calibri"/>
          <w:smallCaps w:val="1"/>
          <w:rtl w:val="0"/>
        </w:rPr>
        <w:t xml:space="preserve">MISSIONE 4: ISTRUZIONE E RICERCA </w:t>
      </w:r>
    </w:p>
    <w:p w:rsidR="00000000" w:rsidDel="00000000" w:rsidP="00000000" w:rsidRDefault="00000000" w:rsidRPr="00000000" w14:paraId="00000006">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Componente 1 - Potenziamento dell’offerta dei servizi di Istruzione: Dagli asili nido alle Università </w:t>
      </w:r>
    </w:p>
    <w:p w:rsidR="00000000" w:rsidDel="00000000" w:rsidP="00000000" w:rsidRDefault="00000000" w:rsidRPr="00000000" w14:paraId="00000007">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rPr>
      </w:pPr>
      <w:r w:rsidDel="00000000" w:rsidR="00000000" w:rsidRPr="00000000">
        <w:rPr>
          <w:rFonts w:ascii="Calibri" w:cs="Calibri" w:eastAsia="Calibri" w:hAnsi="Calibri"/>
          <w:rtl w:val="0"/>
        </w:rPr>
        <w:t xml:space="preserve">Investimento 3.2 Scuola 4.0 </w:t>
      </w:r>
    </w:p>
    <w:p w:rsidR="00000000" w:rsidDel="00000000" w:rsidP="00000000" w:rsidRDefault="00000000" w:rsidRPr="00000000" w14:paraId="00000008">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i w:val="1"/>
        </w:rPr>
      </w:pPr>
      <w:r w:rsidDel="00000000" w:rsidR="00000000" w:rsidRPr="00000000">
        <w:rPr>
          <w:rFonts w:ascii="Calibri" w:cs="Calibri" w:eastAsia="Calibri" w:hAnsi="Calibri"/>
          <w:i w:val="1"/>
          <w:rtl w:val="0"/>
        </w:rPr>
        <w:t xml:space="preserve">“Scuole innovative, cablaggio, nuovi ambienti di apprendimento e laboratori” </w:t>
      </w:r>
    </w:p>
    <w:p w:rsidR="00000000" w:rsidDel="00000000" w:rsidP="00000000" w:rsidRDefault="00000000" w:rsidRPr="00000000" w14:paraId="00000009">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AZIONE 2 – NEXT GENERATION </w:t>
      </w:r>
      <w:r w:rsidDel="00000000" w:rsidR="00000000" w:rsidRPr="00000000">
        <w:rPr>
          <w:rFonts w:ascii="Calibri" w:cs="Calibri" w:eastAsia="Calibri" w:hAnsi="Calibri"/>
          <w:b w:val="1"/>
          <w:sz w:val="22"/>
          <w:szCs w:val="22"/>
          <w:rtl w:val="0"/>
        </w:rPr>
        <w:t xml:space="preserve"> LABS – </w:t>
      </w:r>
    </w:p>
    <w:p w:rsidR="00000000" w:rsidDel="00000000" w:rsidP="00000000" w:rsidRDefault="00000000" w:rsidRPr="00000000" w14:paraId="0000000A">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Helvetica Neue" w:cs="Helvetica Neue" w:eastAsia="Helvetica Neue" w:hAnsi="Helvetica Neue"/>
          <w:b w:val="1"/>
          <w:sz w:val="22"/>
          <w:szCs w:val="22"/>
          <w:rtl w:val="0"/>
        </w:rPr>
        <w:t xml:space="preserve">Laboratori per le professioni digitali del futuro</w:t>
      </w:r>
      <w:r w:rsidDel="00000000" w:rsidR="00000000" w:rsidRPr="00000000">
        <w:rPr>
          <w:rtl w:val="0"/>
        </w:rPr>
      </w:r>
    </w:p>
    <w:p w:rsidR="00000000" w:rsidDel="00000000" w:rsidP="00000000" w:rsidRDefault="00000000" w:rsidRPr="00000000" w14:paraId="0000000B">
      <w:pPr>
        <w:pBdr>
          <w:top w:color="000000" w:space="1" w:sz="4" w:val="single"/>
          <w:left w:color="000000" w:space="1" w:sz="4" w:val="single"/>
          <w:bottom w:color="000000" w:space="0" w:sz="4" w:val="single"/>
          <w:right w:color="000000" w:space="1" w:sz="4" w:val="single"/>
        </w:pBd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s>
        <w:jc w:val="center"/>
        <w:rPr>
          <w:rFonts w:ascii="Calibri" w:cs="Calibri" w:eastAsia="Calibri" w:hAnsi="Calibri"/>
          <w:b w:val="1"/>
        </w:rPr>
      </w:pPr>
      <w:r w:rsidDel="00000000" w:rsidR="00000000" w:rsidRPr="00000000">
        <w:rPr>
          <w:rFonts w:ascii="Calibri" w:cs="Calibri" w:eastAsia="Calibri" w:hAnsi="Calibri"/>
          <w:b w:val="1"/>
          <w:rtl w:val="0"/>
        </w:rPr>
        <w:t xml:space="preserve">PROGETTO M4C1I3.2-2022-961-P-…………..      CUP …………….</w:t>
      </w:r>
    </w:p>
    <w:p w:rsidR="00000000" w:rsidDel="00000000" w:rsidP="00000000" w:rsidRDefault="00000000" w:rsidRPr="00000000" w14:paraId="0000000C">
      <w:pPr>
        <w:jc w:val="righ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 Dirigente Scolastico</w:t>
      </w:r>
    </w:p>
    <w:p w:rsidR="00000000" w:rsidDel="00000000" w:rsidP="00000000" w:rsidRDefault="00000000" w:rsidRPr="00000000" w14:paraId="0000000E">
      <w:pPr>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Istituto…………</w:t>
      </w:r>
    </w:p>
    <w:p w:rsidR="00000000" w:rsidDel="00000000" w:rsidP="00000000" w:rsidRDefault="00000000" w:rsidRPr="00000000" w14:paraId="0000000F">
      <w:pPr>
        <w:jc w:val="right"/>
        <w:rPr>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Il/La sottoscritt_ ____________________________ nat_ a ____________ il ___________, C.F. _____________________ coinvolto/a nella  procedura di affidamento, C.I.G._______________, C.U.P. __________________ in qualità di: </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operatore economico</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R.U.P.;</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progettista;</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collaudatore;</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commissario di gara;</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tecnico operativo</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supporto metodologico-didattico</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altro _________________________;</w:t>
      </w:r>
    </w:p>
    <w:p w:rsidR="00000000" w:rsidDel="00000000" w:rsidP="00000000" w:rsidRDefault="00000000" w:rsidRPr="00000000" w14:paraId="0000001B">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 </w:t>
      </w:r>
      <w:r w:rsidDel="00000000" w:rsidR="00000000" w:rsidRPr="00000000">
        <w:rPr>
          <w:rFonts w:ascii="Calibri" w:cs="Calibri" w:eastAsia="Calibri" w:hAnsi="Calibri"/>
          <w:sz w:val="22"/>
          <w:szCs w:val="22"/>
          <w:rtl w:val="0"/>
        </w:rPr>
        <w:t xml:space="preserve">la legge 7 agosto 1990, n. 241, recante «</w:t>
      </w:r>
      <w:r w:rsidDel="00000000" w:rsidR="00000000" w:rsidRPr="00000000">
        <w:rPr>
          <w:rFonts w:ascii="Calibri" w:cs="Calibri" w:eastAsia="Calibri" w:hAnsi="Calibri"/>
          <w:i w:val="1"/>
          <w:sz w:val="22"/>
          <w:szCs w:val="22"/>
          <w:rtl w:val="0"/>
        </w:rPr>
        <w:t xml:space="preserve">Nuove norme in materia di procedimento amministrativo e di diritto di accesso ai documenti amministrativi</w:t>
      </w:r>
      <w:r w:rsidDel="00000000" w:rsidR="00000000" w:rsidRPr="00000000">
        <w:rPr>
          <w:rFonts w:ascii="Calibri" w:cs="Calibri" w:eastAsia="Calibri" w:hAnsi="Calibri"/>
          <w:sz w:val="22"/>
          <w:szCs w:val="22"/>
          <w:rtl w:val="0"/>
        </w:rPr>
        <w:t xml:space="preserve">», e in particolare l’art. 6-</w:t>
      </w:r>
      <w:r w:rsidDel="00000000" w:rsidR="00000000" w:rsidRPr="00000000">
        <w:rPr>
          <w:rFonts w:ascii="Calibri" w:cs="Calibri" w:eastAsia="Calibri" w:hAnsi="Calibri"/>
          <w:i w:val="1"/>
          <w:sz w:val="22"/>
          <w:szCs w:val="22"/>
          <w:rtl w:val="0"/>
        </w:rPr>
        <w:t xml:space="preserve">bis</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C">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decreto legislativo 30 marzo 2001, n. 165, recante «</w:t>
      </w:r>
      <w:r w:rsidDel="00000000" w:rsidR="00000000" w:rsidRPr="00000000">
        <w:rPr>
          <w:rFonts w:ascii="Calibri" w:cs="Calibri" w:eastAsia="Calibri" w:hAnsi="Calibri"/>
          <w:i w:val="1"/>
          <w:sz w:val="22"/>
          <w:szCs w:val="22"/>
          <w:rtl w:val="0"/>
        </w:rPr>
        <w:t xml:space="preserve">Norme generali sull’ordinamento del lavoro alle dipendenze delle amministrazioni pubbliche</w:t>
      </w:r>
      <w:r w:rsidDel="00000000" w:rsidR="00000000" w:rsidRPr="00000000">
        <w:rPr>
          <w:rFonts w:ascii="Calibri" w:cs="Calibri" w:eastAsia="Calibri" w:hAnsi="Calibri"/>
          <w:sz w:val="22"/>
          <w:szCs w:val="22"/>
          <w:rtl w:val="0"/>
        </w:rPr>
        <w:t xml:space="preserve">», in particolare l’art. 35;</w:t>
      </w:r>
    </w:p>
    <w:p w:rsidR="00000000" w:rsidDel="00000000" w:rsidP="00000000" w:rsidRDefault="00000000" w:rsidRPr="00000000" w14:paraId="0000001D">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VISTA</w:t>
      </w:r>
      <w:r w:rsidDel="00000000" w:rsidR="00000000" w:rsidRPr="00000000">
        <w:rPr>
          <w:rFonts w:ascii="Calibri" w:cs="Calibri" w:eastAsia="Calibri" w:hAnsi="Calibri"/>
          <w:sz w:val="22"/>
          <w:szCs w:val="22"/>
          <w:rtl w:val="0"/>
        </w:rPr>
        <w:t xml:space="preserve"> la legge 6 novembre 2012, n. 190, recante «</w:t>
      </w:r>
      <w:r w:rsidDel="00000000" w:rsidR="00000000" w:rsidRPr="00000000">
        <w:rPr>
          <w:rFonts w:ascii="Calibri" w:cs="Calibri" w:eastAsia="Calibri" w:hAnsi="Calibri"/>
          <w:i w:val="1"/>
          <w:sz w:val="22"/>
          <w:szCs w:val="22"/>
          <w:rtl w:val="0"/>
        </w:rPr>
        <w:t xml:space="preserve">Disposizioni per la prevenzione e la repressione della corruzione e dell’illegalità nella pubblica amministrazione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E">
      <w:pPr>
        <w:tabs>
          <w:tab w:val="center" w:leader="none" w:pos="1134"/>
        </w:tabs>
        <w:spacing w:after="120" w:before="120" w:lineRule="auto"/>
        <w:ind w:right="566"/>
        <w:jc w:val="both"/>
        <w:rPr>
          <w:rFonts w:ascii="Calibri" w:cs="Calibri" w:eastAsia="Calibri" w:hAnsi="Calibri"/>
          <w:color w:val="000000"/>
          <w:sz w:val="22"/>
          <w:szCs w:val="22"/>
          <w:shd w:fill="f4ffff" w:val="clear"/>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7 del DPR 62/2013 “</w:t>
      </w:r>
      <w:r w:rsidDel="00000000" w:rsidR="00000000" w:rsidRPr="00000000">
        <w:rPr>
          <w:rFonts w:ascii="Calibri" w:cs="Calibri" w:eastAsia="Calibri" w:hAnsi="Calibri"/>
          <w:color w:val="000000"/>
          <w:sz w:val="22"/>
          <w:szCs w:val="22"/>
          <w:shd w:fill="f4ffff" w:val="clear"/>
          <w:rtl w:val="0"/>
        </w:rPr>
        <w:t xml:space="preserve">Regolamento recante codice di comportamento dei dipendenti pubblici”</w:t>
      </w:r>
    </w:p>
    <w:p w:rsidR="00000000" w:rsidDel="00000000" w:rsidP="00000000" w:rsidRDefault="00000000" w:rsidRPr="00000000" w14:paraId="0000001F">
      <w:pPr>
        <w:tabs>
          <w:tab w:val="center" w:leader="none" w:pos="1134"/>
        </w:tabs>
        <w:spacing w:after="120" w:before="120" w:lineRule="auto"/>
        <w:ind w:right="566"/>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il il D.Lgs 39/2013 “Disposizioni in materia di inconferibilita' e incompatibilita' di incarichi presso le pubbliche amministrazioni e presso gli enti privati in controllo pubblico, a norma dell'articolo 1, commi 49 e 50, della legge 6 novembre 2012, n. 190”</w:t>
      </w:r>
      <w:r w:rsidDel="00000000" w:rsidR="00000000" w:rsidRPr="00000000">
        <w:rPr>
          <w:rFonts w:ascii="Calibri" w:cs="Calibri" w:eastAsia="Calibri" w:hAnsi="Calibri"/>
          <w:b w:val="1"/>
          <w:color w:val="000000"/>
          <w:sz w:val="22"/>
          <w:szCs w:val="22"/>
          <w:shd w:fill="f4ffff" w:val="clear"/>
          <w:rtl w:val="0"/>
        </w:rPr>
        <w:t xml:space="preserve"> </w:t>
      </w:r>
      <w:r w:rsidDel="00000000" w:rsidR="00000000" w:rsidRPr="00000000">
        <w:rPr>
          <w:rtl w:val="0"/>
        </w:rPr>
      </w:r>
    </w:p>
    <w:p w:rsidR="00000000" w:rsidDel="00000000" w:rsidP="00000000" w:rsidRDefault="00000000" w:rsidRPr="00000000" w14:paraId="00000020">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w:t>
      </w:r>
      <w:r w:rsidDel="00000000" w:rsidR="00000000" w:rsidRPr="00000000">
        <w:rPr>
          <w:rFonts w:ascii="Calibri" w:cs="Calibri" w:eastAsia="Calibri" w:hAnsi="Calibri"/>
          <w:sz w:val="22"/>
          <w:szCs w:val="22"/>
          <w:rtl w:val="0"/>
        </w:rPr>
        <w:t xml:space="preserve"> il Codice di comportamento dei dipendenti del Ministero dell’istruzione e del merito, adottato con D.M. del 26 aprile 2022, n. 105;</w:t>
      </w:r>
    </w:p>
    <w:p w:rsidR="00000000" w:rsidDel="00000000" w:rsidP="00000000" w:rsidRDefault="00000000" w:rsidRPr="00000000" w14:paraId="00000021">
      <w:pPr>
        <w:tabs>
          <w:tab w:val="center" w:leader="none" w:pos="1134"/>
        </w:tabs>
        <w:spacing w:after="120" w:before="120" w:lineRule="auto"/>
        <w:ind w:right="566"/>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VISTO </w:t>
      </w:r>
      <w:r w:rsidDel="00000000" w:rsidR="00000000" w:rsidRPr="00000000">
        <w:rPr>
          <w:rFonts w:ascii="Calibri" w:cs="Calibri" w:eastAsia="Calibri" w:hAnsi="Calibri"/>
          <w:sz w:val="22"/>
          <w:szCs w:val="22"/>
          <w:rtl w:val="0"/>
        </w:rPr>
        <w:t xml:space="preserve">l’art. 42 del D.Lgs 50/2016 “Codice dei contratti pubblici”</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spacing w:after="120" w:before="12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la mancata sussistenza di ipotesi di conflitto di interessi</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tal fine si precisa:</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4"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ai sensi dell’art. 35-</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d.lgs. n. 165/2001, non ha riportato alcuna condanna, neppure pronunciata con sentenza non passata in giudicato, per i delitti previsti nel capo I del titolo II del libro secondo del codice penale;</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legge n. 241/1990. In particolare, che il procedimento di acquisto in essere: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propri;</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impieghi presso soggetti  pubblici o privati, in qualsiasi  qualifica o ruolo, anche                di consulenza, retribuiti e/o a titolo  gratuito, svolti attualmente o nei  tre anni antecedenti la</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partecipazione alla presente procedura;</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ad organi collegiali (ad es. comitati, organi consultivi, commissioni o gruppi  di lavoro) comunque denominati, a titolo  oneroso e/o gratuito, svolte  attualmente  o nei tre anni  antecedenti la partecipazione alla presente procedura;</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a società di  persone e/o di capitali, con o  senza incarico di amministrazione,  detenute attualmente ovvero nei tre anni antecedenti la partecipazione alla presente procedura;</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accordi di  collaborazione scientifica, delle partecipazioni ad  iniziative o a società e  studi di professionisti, comunque  denominati (ad es.  incarichi di ricercatore, responsabile  scientifico, collaboratore di progetti),  condotti con taluna delle  imprese partecipanti alla  procedura ovvero, personalmente, con i  suoi soci/rappresentanti legali/amministratori, ovvero  relativi ai tre anni  antecedenti la partecipazione alla presente procedura:</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avere partecipazioni, in atto ovvero  possedute nei tre anni  antecedenti, in società di  capitali pubbliche o private;</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che il convivente o colui con il quale si abbia frequentazione abituale riveste o abbia rivestito (in corso o relativi ai tre anni antecedenti), a titolo gratuito o oneroso: </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cariche o incarichi nell’ambito delle società partecipanti alla procedura ovvero abbia prestato per esse attività professionale, comunque denominate;</w:t>
      </w:r>
    </w:p>
    <w:p w:rsidR="00000000" w:rsidDel="00000000" w:rsidP="00000000" w:rsidRDefault="00000000" w:rsidRPr="00000000" w14:paraId="00000039">
      <w:pPr>
        <w:numPr>
          <w:ilvl w:val="1"/>
          <w:numId w:val="1"/>
        </w:numPr>
        <w:pBdr>
          <w:top w:space="0" w:sz="0" w:val="nil"/>
          <w:left w:space="0" w:sz="0" w:val="nil"/>
          <w:bottom w:space="0" w:sz="0" w:val="nil"/>
          <w:right w:space="0" w:sz="0" w:val="nil"/>
          <w:between w:space="0" w:sz="0" w:val="nil"/>
        </w:pBdr>
        <w:ind w:left="144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abbia un contenzioso giurisdizionale pendente o concluso con l’amministrazione o con le società partecipanti alla procedura </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ovvero, nel caso in cui sussistano la presenza di situazioni di incompatibilità cui ai punti precedenti, che le stesse sono le seguenti: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Fonts w:ascii="Calibri" w:cs="Calibri" w:eastAsia="Calibri" w:hAnsi="Calibri"/>
          <w:sz w:val="22"/>
          <w:szCs w:val="22"/>
          <w:rtl w:val="0"/>
        </w:rPr>
        <w:t xml:space="preserve">punto……</w:t>
      </w:r>
      <w:r w:rsidDel="00000000" w:rsidR="00000000" w:rsidRPr="00000000">
        <w:rPr>
          <w:color w:val="000000"/>
          <w:sz w:val="22"/>
          <w:szCs w:val="22"/>
          <w:rtl w:val="0"/>
        </w:rPr>
        <w:t xml:space="preserve">_______________________________________________________________________________;</w:t>
      </w:r>
    </w:p>
    <w:p w:rsidR="00000000" w:rsidDel="00000000" w:rsidP="00000000" w:rsidRDefault="00000000" w:rsidRPr="00000000" w14:paraId="0000003E">
      <w:pPr>
        <w:spacing w:after="120" w:before="120"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Luogo e data, ____________________</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2"/>
          <w:szCs w:val="22"/>
        </w:rPr>
      </w:pPr>
      <w:bookmarkStart w:colFirst="0" w:colLast="0" w:name="_heading=h.gjdgxs" w:id="0"/>
      <w:bookmarkEnd w:id="0"/>
      <w:r w:rsidDel="00000000" w:rsidR="00000000" w:rsidRPr="00000000">
        <w:rPr>
          <w:sz w:val="20"/>
          <w:szCs w:val="20"/>
          <w:rtl w:val="0"/>
        </w:rPr>
        <w:tab/>
        <w:tab/>
        <w:tab/>
        <w:tab/>
        <w:tab/>
        <w:tab/>
        <w:tab/>
        <w:tab/>
        <w:tab/>
        <w:tab/>
      </w:r>
      <w:r w:rsidDel="00000000" w:rsidR="00000000" w:rsidRPr="00000000">
        <w:rPr>
          <w:rFonts w:ascii="Calibri" w:cs="Calibri" w:eastAsia="Calibri" w:hAnsi="Calibri"/>
          <w:sz w:val="22"/>
          <w:szCs w:val="22"/>
          <w:rtl w:val="0"/>
        </w:rPr>
        <w:t xml:space="preserve">IL DICHIARANTE</w:t>
        <w:tab/>
        <w:tab/>
        <w:tab/>
        <w:tab/>
        <w:tab/>
        <w:tab/>
        <w:tab/>
        <w:t xml:space="preserve">         </w:t>
        <w:tab/>
        <w:t xml:space="preserve">              </w:t>
      </w:r>
    </w:p>
    <w:p w:rsidR="00000000" w:rsidDel="00000000" w:rsidP="00000000" w:rsidRDefault="00000000" w:rsidRPr="00000000" w14:paraId="00000047">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48">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49">
      <w:pPr>
        <w:numPr>
          <w:ilvl w:val="0"/>
          <w:numId w:val="2"/>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Courier New"/>
  <w:font w:name="Kunstler Script"/>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819"/>
        <w:tab w:val="right" w:leader="none" w:pos="9638"/>
      </w:tabs>
      <w:rPr>
        <w:rFonts w:ascii="Kunstler Script" w:cs="Kunstler Script" w:eastAsia="Kunstler Script" w:hAnsi="Kunstler Script"/>
        <w:i w:val="1"/>
      </w:rPr>
    </w:pPr>
    <w:r w:rsidDel="00000000" w:rsidR="00000000" w:rsidRPr="00000000">
      <w:rPr>
        <w:rFonts w:ascii="Calibri" w:cs="Calibri" w:eastAsia="Calibri" w:hAnsi="Calibri"/>
        <w:sz w:val="22"/>
        <w:szCs w:val="22"/>
      </w:rPr>
      <w:drawing>
        <wp:inline distB="114300" distT="114300" distL="114300" distR="114300">
          <wp:extent cx="6119820" cy="1092200"/>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19820" cy="10922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right"/>
      <w:pPr>
        <w:ind w:left="1440" w:hanging="360"/>
      </w:pPr>
      <w:rPr>
        <w:rFonts w:ascii="Calibri" w:cs="Calibri" w:eastAsia="Calibri" w:hAnsi="Calibri"/>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libri" w:cs="Calibri" w:eastAsia="Calibri" w:hAnsi="Calibri"/>
      <w:b w:val="1"/>
      <w:color w:val="4472c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paragraph" w:styleId="Titolo3">
    <w:name w:val="heading 3"/>
    <w:basedOn w:val="Normale"/>
    <w:next w:val="Normale"/>
    <w:link w:val="Titolo3Carattere"/>
    <w:uiPriority w:val="9"/>
    <w:semiHidden w:val="1"/>
    <w:unhideWhenUsed w:val="1"/>
    <w:qFormat w:val="1"/>
    <w:rsid w:val="007D37BF"/>
    <w:pPr>
      <w:keepNext w:val="1"/>
      <w:keepLines w:val="1"/>
      <w:spacing w:before="200"/>
      <w:outlineLvl w:val="2"/>
    </w:pPr>
    <w:rPr>
      <w:rFonts w:asciiTheme="majorHAnsi" w:cstheme="majorBidi" w:eastAsiaTheme="majorEastAsia" w:hAnsiTheme="majorHAnsi"/>
      <w:b w:val="1"/>
      <w:bCs w:val="1"/>
      <w:color w:val="4472c4" w:themeColor="accent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deltesto">
    <w:name w:val="Body Text"/>
    <w:basedOn w:val="Normale"/>
    <w:link w:val="CorpodeltestoCarattere"/>
    <w:uiPriority w:val="1"/>
    <w:qFormat w:val="1"/>
    <w:rsid w:val="005A3C41"/>
    <w:pPr>
      <w:autoSpaceDE w:val="0"/>
      <w:autoSpaceDN w:val="0"/>
      <w:adjustRightInd w:val="0"/>
    </w:pPr>
    <w:rPr>
      <w:rFonts w:eastAsiaTheme="minorHAnsi"/>
      <w:sz w:val="23"/>
      <w:szCs w:val="23"/>
      <w:lang w:val="it-IT"/>
    </w:rPr>
  </w:style>
  <w:style w:type="character" w:styleId="CorpodeltestoCarattere" w:customStyle="1">
    <w:name w:val="Corpo del testo Carattere"/>
    <w:basedOn w:val="Carpredefinitoparagrafo"/>
    <w:link w:val="Corpodeltesto"/>
    <w:uiPriority w:val="1"/>
    <w:rsid w:val="005A3C41"/>
    <w:rPr>
      <w:rFonts w:ascii="Times New Roman" w:cs="Times New Roman" w:hAnsi="Times New Roman"/>
      <w:sz w:val="23"/>
      <w:szCs w:val="23"/>
    </w:rPr>
  </w:style>
  <w:style w:type="paragraph" w:styleId="Revisione">
    <w:name w:val="Revision"/>
    <w:hidden w:val="1"/>
    <w:uiPriority w:val="99"/>
    <w:semiHidden w:val="1"/>
    <w:rsid w:val="00691117"/>
    <w:pPr>
      <w:spacing w:after="0" w:line="240" w:lineRule="auto"/>
    </w:pPr>
    <w:rPr>
      <w:rFonts w:ascii="Times New Roman" w:cs="Times New Roman" w:eastAsia="Times New Roman" w:hAnsi="Times New Roman"/>
      <w:sz w:val="24"/>
      <w:szCs w:val="24"/>
      <w:lang w:val="en-US"/>
    </w:rPr>
  </w:style>
  <w:style w:type="character" w:styleId="Titolo3Carattere" w:customStyle="1">
    <w:name w:val="Titolo 3 Carattere"/>
    <w:basedOn w:val="Carpredefinitoparagrafo"/>
    <w:link w:val="Titolo3"/>
    <w:uiPriority w:val="9"/>
    <w:semiHidden w:val="1"/>
    <w:rsid w:val="007D37BF"/>
    <w:rPr>
      <w:rFonts w:asciiTheme="majorHAnsi" w:cstheme="majorBidi" w:eastAsiaTheme="majorEastAsia" w:hAnsiTheme="majorHAnsi"/>
      <w:b w:val="1"/>
      <w:bCs w:val="1"/>
      <w:color w:val="4472c4" w:themeColor="accent1"/>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xJHRiCgDzl4Zeb7P8vs/PNayKQ==">CgMxLjAyCGguZ2pkZ3hzOAByITFYNmk4OWR1a1c3a1FUOGl1bjFfeDZhOHBobnkxaUxoRg==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2023-05-14T12:21:00Z</dcterms:created>
  <dc:creator>Antonina Mancuso</dc:creator>
</cp:coreProperties>
</file>