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Data…………</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rPr/>
      </w:pPr>
      <w:r w:rsidDel="00000000" w:rsidR="00000000" w:rsidRPr="00000000">
        <w:rPr>
          <w:rtl w:val="0"/>
        </w:rPr>
        <w:t xml:space="preserve">Prot. informatico</w:t>
      </w:r>
    </w:p>
    <w:p w:rsidR="00000000" w:rsidDel="00000000" w:rsidP="00000000" w:rsidRDefault="00000000" w:rsidRPr="00000000" w14:paraId="0000000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right"/>
        <w:rPr/>
      </w:pPr>
      <w:r w:rsidDel="00000000" w:rsidR="00000000" w:rsidRPr="00000000">
        <w:rPr>
          <w:rtl w:val="0"/>
        </w:rPr>
        <w:t xml:space="preserve">Al sito e all’Albo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u w:val="single"/>
        </w:rPr>
      </w:pPr>
      <w:r w:rsidDel="00000000" w:rsidR="00000000" w:rsidRPr="00000000">
        <w:rPr>
          <w:b w:val="1"/>
          <w:u w:val="single"/>
          <w:rtl w:val="0"/>
        </w:rPr>
        <w:t xml:space="preserve">DETERMINA DI AVVIO DEL PROCEDIMENTO PER L’ACQUISTO DI TECNOLOGIE/ARREDI…………………………..</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rtl w:val="0"/>
        </w:rPr>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AZIONE 2 – NEXT GENERATION LABS – </w:t>
      </w:r>
    </w:p>
    <w:p w:rsidR="00000000" w:rsidDel="00000000" w:rsidP="00000000" w:rsidRDefault="00000000" w:rsidRPr="00000000" w14:paraId="0000000E">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LABORATORI PER LE PROFESSIONI DIGITALI DEL FUTURO</w:t>
      </w:r>
    </w:p>
    <w:p w:rsidR="00000000" w:rsidDel="00000000" w:rsidP="00000000" w:rsidRDefault="00000000" w:rsidRPr="00000000" w14:paraId="0000000F">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40" w:lineRule="auto"/>
        <w:jc w:val="center"/>
        <w:rPr>
          <w:b w:val="1"/>
        </w:rPr>
      </w:pPr>
      <w:r w:rsidDel="00000000" w:rsidR="00000000" w:rsidRPr="00000000">
        <w:rPr>
          <w:b w:val="1"/>
          <w:rtl w:val="0"/>
        </w:rPr>
        <w:t xml:space="preserve">PROGETTO M4C1I3.2-2022-961-P-……….      CUP ……….. CIG……………………..</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left="1418" w:hanging="1418"/>
        <w:jc w:val="center"/>
        <w:rPr>
          <w:b w:val="1"/>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240" w:lineRule="auto"/>
        <w:ind w:left="3578" w:firstLine="21.999999999999886"/>
        <w:rPr>
          <w:b w:val="1"/>
          <w:color w:val="000000"/>
        </w:rPr>
      </w:pPr>
      <w:bookmarkStart w:colFirst="0" w:colLast="0" w:name="_heading=h.1dx215yzqva2" w:id="0"/>
      <w:bookmarkEnd w:id="0"/>
      <w:r w:rsidDel="00000000" w:rsidR="00000000" w:rsidRPr="00000000">
        <w:rPr>
          <w:b w:val="1"/>
          <w:color w:val="000000"/>
          <w:rtl w:val="0"/>
        </w:rPr>
        <w:t xml:space="preserve">IL </w:t>
      </w:r>
      <w:r w:rsidDel="00000000" w:rsidR="00000000" w:rsidRPr="00000000">
        <w:rPr>
          <w:b w:val="1"/>
          <w:rtl w:val="0"/>
        </w:rPr>
        <w:t xml:space="preserve">DIRIGENTE</w:t>
      </w:r>
      <w:r w:rsidDel="00000000" w:rsidR="00000000" w:rsidRPr="00000000">
        <w:rPr>
          <w:b w:val="1"/>
          <w:color w:val="000000"/>
          <w:rtl w:val="0"/>
        </w:rPr>
        <w:t xml:space="preserve"> SCOLASTICO</w:t>
      </w:r>
    </w:p>
    <w:tbl>
      <w:tblPr>
        <w:tblStyle w:val="Table1"/>
        <w:tblW w:w="9795.0" w:type="dxa"/>
        <w:jc w:val="left"/>
        <w:tblInd w:w="-216.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1455"/>
        <w:gridCol w:w="8340"/>
        <w:tblGridChange w:id="0">
          <w:tblGrid>
            <w:gridCol w:w="1455"/>
            <w:gridCol w:w="8340"/>
          </w:tblGrid>
        </w:tblGridChange>
      </w:tblGrid>
      <w:tr>
        <w:trPr>
          <w:cantSplit w:val="0"/>
          <w:tblHeader w:val="0"/>
        </w:trPr>
        <w:tc>
          <w:tcPr/>
          <w:p w:rsidR="00000000" w:rsidDel="00000000" w:rsidP="00000000" w:rsidRDefault="00000000" w:rsidRPr="00000000" w14:paraId="00000012">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il R.D 18 novembre 1923, n. 2440, concernente l’amministrazione del Patrimonio e la contabilità Generale dello Stato ed il relativo regolamento approvato con R.D. 23 maggio 1924, n. 827 e ss.mm. ii.;</w:t>
            </w:r>
          </w:p>
        </w:tc>
      </w:tr>
      <w:tr>
        <w:trPr>
          <w:cantSplit w:val="0"/>
          <w:tblHeader w:val="0"/>
        </w:trPr>
        <w:tc>
          <w:tcPr/>
          <w:p w:rsidR="00000000" w:rsidDel="00000000" w:rsidP="00000000" w:rsidRDefault="00000000" w:rsidRPr="00000000" w14:paraId="00000014">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15">
            <w:pPr>
              <w:jc w:val="both"/>
              <w:rPr>
                <w:rFonts w:ascii="Calibri" w:cs="Calibri" w:eastAsia="Calibri" w:hAnsi="Calibri"/>
                <w:color w:val="ff0000"/>
              </w:rPr>
            </w:pPr>
            <w:r w:rsidDel="00000000" w:rsidR="00000000" w:rsidRPr="00000000">
              <w:rPr>
                <w:rFonts w:ascii="Calibri" w:cs="Calibri" w:eastAsia="Calibri" w:hAnsi="Calibri"/>
                <w:rtl w:val="0"/>
              </w:rPr>
              <w:t xml:space="preserve">la legge n. 241 del 7 agosto 1990, recante «</w:t>
            </w:r>
            <w:r w:rsidDel="00000000" w:rsidR="00000000" w:rsidRPr="00000000">
              <w:rPr>
                <w:rFonts w:ascii="Calibri" w:cs="Calibri" w:eastAsia="Calibri" w:hAnsi="Calibri"/>
                <w:i w:val="1"/>
                <w:rtl w:val="0"/>
              </w:rPr>
              <w:t xml:space="preserve">Nuove norme in materia di procedimento amministrativo e di diritto di accesso ai documenti amministrativi</w:t>
            </w: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16">
            <w:pPr>
              <w:spacing w:after="120" w:lineRule="auto"/>
              <w:jc w:val="center"/>
              <w:rPr>
                <w:rFonts w:ascii="Calibri" w:cs="Calibri" w:eastAsia="Calibri" w:hAnsi="Calibri"/>
                <w:b w:val="1"/>
              </w:rPr>
            </w:pPr>
            <w:r w:rsidDel="00000000" w:rsidR="00000000" w:rsidRPr="00000000">
              <w:rPr>
                <w:rFonts w:ascii="Calibri" w:cs="Calibri" w:eastAsia="Calibri" w:hAnsi="Calibri"/>
                <w:b w:val="1"/>
                <w:i w:val="1"/>
                <w:rtl w:val="0"/>
              </w:rPr>
              <w:t xml:space="preserve">Vista</w:t>
            </w:r>
            <w:r w:rsidDel="00000000" w:rsidR="00000000" w:rsidRPr="00000000">
              <w:rPr>
                <w:rtl w:val="0"/>
              </w:rPr>
            </w:r>
          </w:p>
        </w:tc>
        <w:tc>
          <w:tcPr/>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la Legge 15 marzo 1997, n. 59, concernente “Delega al Governo per il conferimento di funzioni e compiti alle regioni ed enti locali, per la riforma della Pubblica Amministrazione e per la semplificazione amministrativa", </w:t>
            </w:r>
          </w:p>
        </w:tc>
      </w:tr>
      <w:tr>
        <w:trPr>
          <w:cantSplit w:val="0"/>
          <w:tblHeader w:val="0"/>
        </w:trPr>
        <w:tc>
          <w:tcPr/>
          <w:p w:rsidR="00000000" w:rsidDel="00000000" w:rsidP="00000000" w:rsidRDefault="00000000" w:rsidRPr="00000000" w14:paraId="00000018">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il DPR 275/99, concernente norme in materia di autonomia delle istituzioni scolastiche;</w:t>
            </w:r>
          </w:p>
        </w:tc>
      </w:tr>
      <w:tr>
        <w:trPr>
          <w:cantSplit w:val="0"/>
          <w:tblHeader w:val="0"/>
        </w:trPr>
        <w:tc>
          <w:tcPr/>
          <w:p w:rsidR="00000000" w:rsidDel="00000000" w:rsidP="00000000" w:rsidRDefault="00000000" w:rsidRPr="00000000" w14:paraId="0000001A">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il decreto del Presidente della Repubblica del 28 dicembre 2000, n. 445, recante il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1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decreto legislativo del 30 marzo 2001, n. 165, avente ad oggetto «Norme generali sull’ordinamento del lavoro alle dipendenze delle amministrazioni pubbliche» e, in particolare, l’art. 7, comma 6;</w:t>
            </w:r>
          </w:p>
        </w:tc>
      </w:tr>
      <w:tr>
        <w:trPr>
          <w:cantSplit w:val="0"/>
          <w:tblHeader w:val="0"/>
        </w:trPr>
        <w:tc>
          <w:tcPr/>
          <w:p w:rsidR="00000000" w:rsidDel="00000000" w:rsidP="00000000" w:rsidRDefault="00000000" w:rsidRPr="00000000" w14:paraId="0000001E">
            <w:pPr>
              <w:spacing w:after="12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il decreto legislativo del 14 marzo 2013, n. 33, recante «</w:t>
            </w:r>
            <w:r w:rsidDel="00000000" w:rsidR="00000000" w:rsidRPr="00000000">
              <w:rPr>
                <w:rFonts w:ascii="Calibri" w:cs="Calibri" w:eastAsia="Calibri" w:hAnsi="Calibri"/>
                <w:i w:val="1"/>
                <w:rtl w:val="0"/>
              </w:rPr>
              <w:t xml:space="preserve">Riordino della disciplina riguardante il diritto di accesso civico e gli obblighi di pubblicità, trasparenza e diffusione di informazioni da parte delle pubbliche amministrazioni</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Regolamento (UE) 2016/679 del 27 aprile 2016 e il decreto legislativo 30 giugno 2003, n. 196, recante il «</w:t>
            </w:r>
            <w:r w:rsidDel="00000000" w:rsidR="00000000" w:rsidRPr="00000000">
              <w:rPr>
                <w:rFonts w:ascii="Calibri" w:cs="Calibri" w:eastAsia="Calibri" w:hAnsi="Calibri"/>
                <w:i w:val="1"/>
                <w:color w:val="000000"/>
                <w:rtl w:val="0"/>
              </w:rPr>
              <w:t xml:space="preserve">Codice in materia di protezione dei dati personali</w:t>
            </w:r>
            <w:r w:rsidDel="00000000" w:rsidR="00000000" w:rsidRPr="00000000">
              <w:rPr>
                <w:rFonts w:ascii="Calibri" w:cs="Calibri" w:eastAsia="Calibri" w:hAnsi="Calibri"/>
                <w:color w:val="000000"/>
                <w:rtl w:val="0"/>
              </w:rPr>
              <w:t xml:space="preserve">»;</w:t>
            </w:r>
          </w:p>
        </w:tc>
      </w:tr>
      <w:tr>
        <w:trPr>
          <w:cantSplit w:val="0"/>
          <w:tblHeader w:val="0"/>
        </w:trPr>
        <w:tc>
          <w:tcPr/>
          <w:p w:rsidR="00000000" w:rsidDel="00000000" w:rsidP="00000000" w:rsidRDefault="00000000" w:rsidRPr="00000000" w14:paraId="0000002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il decreto interministeriale del 28 agosto 2018, n. 129, recante «</w:t>
            </w:r>
            <w:r w:rsidDel="00000000" w:rsidR="00000000" w:rsidRPr="00000000">
              <w:rPr>
                <w:rFonts w:ascii="Calibri" w:cs="Calibri" w:eastAsia="Calibri" w:hAnsi="Calibri"/>
                <w:i w:val="1"/>
                <w:rtl w:val="0"/>
              </w:rPr>
              <w:t xml:space="preserve">Istruzioni generali sulla gestione amministrativo-contabile delle istituzioni scolastiche, ai sensi dell’articolo 1, comma 143, della legge 13 luglio 2015, n. 107</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il D.Lgs 50/2016 nella parte vigente fino al 31/12/2023 secondo quanto previsto dall’art.225 del D.Lgs 36/2023 “Codice dei contratti pubblici” </w:t>
            </w:r>
          </w:p>
        </w:tc>
      </w:tr>
      <w:tr>
        <w:trPr>
          <w:cantSplit w:val="0"/>
          <w:tblHeader w:val="0"/>
        </w:trPr>
        <w:tc>
          <w:tcPr/>
          <w:p w:rsidR="00000000" w:rsidDel="00000000" w:rsidP="00000000" w:rsidRDefault="00000000" w:rsidRPr="00000000" w14:paraId="0000002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il D.Lgs. del 31 marzo 2023, n. 36 “Codice dei Contratti Pubblici” e s.m.i, in particolare l’art. 17 secondo cui: “</w:t>
            </w:r>
            <w:r w:rsidDel="00000000" w:rsidR="00000000" w:rsidRPr="00000000">
              <w:rPr>
                <w:rFonts w:ascii="Calibri" w:cs="Calibri" w:eastAsia="Calibri" w:hAnsi="Calibri"/>
                <w:i w:val="1"/>
                <w:rtl w:val="0"/>
              </w:rPr>
              <w:t xml:space="preserve">Nella procedura di cui all’articolo 50, comma 1, lettera b), la stazione appaltante individua l’oggetto, l’importo e il contraente, unitamente alle ragioni della sua scelta, ai requisiti di carattere generale e, se necessari, a quelli inerenti alla capacità economico-finanziaria e tecnico-professionale.</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l’art. 1 del DL 76/2020 “Decreto semplificazioni” convertito in Legge con L 120/2020 e dell’art. 51 del DL 77/2021 prorogato sino al 31/12/2023 dall’art. 14 del DL 13/2023 per gli acquisti finalizzati alla realizzazione delle azioni del PNRR</w:t>
            </w:r>
          </w:p>
        </w:tc>
      </w:tr>
      <w:tr>
        <w:trPr>
          <w:cantSplit w:val="0"/>
          <w:tblHeader w:val="0"/>
        </w:trPr>
        <w:tc>
          <w:tcPr/>
          <w:p w:rsidR="00000000" w:rsidDel="00000000" w:rsidP="00000000" w:rsidRDefault="00000000" w:rsidRPr="00000000" w14:paraId="0000002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w:t>
            </w:r>
            <w:r w:rsidDel="00000000" w:rsidR="00000000" w:rsidRPr="00000000">
              <w:rPr>
                <w:rFonts w:ascii="Calibri" w:cs="Calibri" w:eastAsia="Calibri" w:hAnsi="Calibri"/>
                <w:i w:val="1"/>
                <w:rtl w:val="0"/>
              </w:rPr>
              <w:t xml:space="preserve">Piano per le infrastrutture per lo sport nelle scuole</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il regolamento UE 2020/852 e, in particolare, l’articolo 17 che definisce gli obiettivi ambientali, tra cui il principio di non arrecare un danno significativo (DNSH, “</w:t>
            </w:r>
            <w:r w:rsidDel="00000000" w:rsidR="00000000" w:rsidRPr="00000000">
              <w:rPr>
                <w:rFonts w:ascii="Calibri" w:cs="Calibri" w:eastAsia="Calibri" w:hAnsi="Calibri"/>
                <w:i w:val="1"/>
                <w:rtl w:val="0"/>
              </w:rPr>
              <w:t xml:space="preserve">Do no significant harm</w:t>
            </w:r>
            <w:r w:rsidDel="00000000" w:rsidR="00000000" w:rsidRPr="00000000">
              <w:rPr>
                <w:rFonts w:ascii="Calibri" w:cs="Calibri" w:eastAsia="Calibri" w:hAnsi="Calibri"/>
                <w:rtl w:val="0"/>
              </w:rPr>
              <w:t xml:space="preserve">”), e la Comunicazione della Commissione UE 2021/C 58/01, recante “</w:t>
            </w:r>
            <w:r w:rsidDel="00000000" w:rsidR="00000000" w:rsidRPr="00000000">
              <w:rPr>
                <w:rFonts w:ascii="Calibri" w:cs="Calibri" w:eastAsia="Calibri" w:hAnsi="Calibri"/>
                <w:i w:val="1"/>
                <w:rtl w:val="0"/>
              </w:rPr>
              <w:t xml:space="preserve">Orientamenti tecnici sull’applicazione del principio «non arrecare un danno significativo» a norma del regolamento sul dispositivo per la ripresa e la resilienza</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2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regolamento (UE) 2021/241 del Parlamento europeo e del Consiglio dell’Unione europea, del 12 febbraio 2021, che istituisce il dispositivo per la ripresa e la resilienza e, in particolare, l’art. 6, paragrafo 2;</w:t>
            </w:r>
          </w:p>
        </w:tc>
      </w:tr>
      <w:tr>
        <w:trPr>
          <w:cantSplit w:val="0"/>
          <w:tblHeader w:val="0"/>
        </w:trPr>
        <w:tc>
          <w:tcPr/>
          <w:p w:rsidR="00000000" w:rsidDel="00000000" w:rsidP="00000000" w:rsidRDefault="00000000" w:rsidRPr="00000000" w14:paraId="0000003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tc>
      </w:tr>
      <w:tr>
        <w:trPr>
          <w:cantSplit w:val="0"/>
          <w:tblHeader w:val="0"/>
        </w:trPr>
        <w:tc>
          <w:tcPr/>
          <w:p w:rsidR="00000000" w:rsidDel="00000000" w:rsidP="00000000" w:rsidRDefault="00000000" w:rsidRPr="00000000" w14:paraId="0000003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r w:rsidDel="00000000" w:rsidR="00000000" w:rsidRPr="00000000">
              <w:rPr>
                <w:rtl w:val="0"/>
              </w:rPr>
            </w:r>
          </w:p>
        </w:tc>
      </w:tr>
      <w:tr>
        <w:trPr>
          <w:cantSplit w:val="0"/>
          <w:tblHeader w:val="0"/>
        </w:trPr>
        <w:tc>
          <w:tcPr/>
          <w:p w:rsidR="00000000" w:rsidDel="00000000" w:rsidP="00000000" w:rsidRDefault="00000000" w:rsidRPr="00000000" w14:paraId="0000003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r w:rsidDel="00000000" w:rsidR="00000000" w:rsidRPr="00000000">
              <w:rPr>
                <w:rtl w:val="0"/>
              </w:rPr>
            </w:r>
          </w:p>
        </w:tc>
      </w:tr>
      <w:tr>
        <w:trPr>
          <w:cantSplit w:val="0"/>
          <w:tblHeader w:val="0"/>
        </w:trPr>
        <w:tc>
          <w:tcPr/>
          <w:p w:rsidR="00000000" w:rsidDel="00000000" w:rsidP="00000000" w:rsidRDefault="00000000" w:rsidRPr="00000000" w14:paraId="0000003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r w:rsidDel="00000000" w:rsidR="00000000" w:rsidRPr="00000000">
              <w:rPr>
                <w:rtl w:val="0"/>
              </w:rPr>
            </w:r>
          </w:p>
        </w:tc>
      </w:tr>
      <w:tr>
        <w:trPr>
          <w:cantSplit w:val="0"/>
          <w:tblHeader w:val="0"/>
        </w:trPr>
        <w:tc>
          <w:tcPr/>
          <w:p w:rsidR="00000000" w:rsidDel="00000000" w:rsidP="00000000" w:rsidRDefault="00000000" w:rsidRPr="00000000" w14:paraId="0000003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decreto del Ministro dell’economia e delle finanze dell’11 ottobre 2021, recante «Procedure relative alla gestione finanziaria delle risorse previste nell'ambito del PNRR di cui all'articolo 1, comma 1042, della legge 30 dicembre 2020, n. 178»;</w:t>
            </w:r>
          </w:p>
        </w:tc>
      </w:tr>
      <w:tr>
        <w:trPr>
          <w:cantSplit w:val="0"/>
          <w:tblHeader w:val="0"/>
        </w:trPr>
        <w:tc>
          <w:tcPr/>
          <w:p w:rsidR="00000000" w:rsidDel="00000000" w:rsidP="00000000" w:rsidRDefault="00000000" w:rsidRPr="00000000" w14:paraId="0000003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il decreto-legge del 6 novembre 2021, n. 152, recante «Disposizioni urgenti per l'attuazione del Piano nazionale di ripresa e resilienza (PNRR) e per la prevenzione delle infiltrazioni mafiose»;</w:t>
            </w:r>
            <w:r w:rsidDel="00000000" w:rsidR="00000000" w:rsidRPr="00000000">
              <w:rPr>
                <w:rtl w:val="0"/>
              </w:rPr>
            </w:r>
          </w:p>
        </w:tc>
      </w:tr>
      <w:tr>
        <w:trPr>
          <w:cantSplit w:val="0"/>
          <w:tblHeader w:val="0"/>
        </w:trPr>
        <w:tc>
          <w:tcPr/>
          <w:p w:rsidR="00000000" w:rsidDel="00000000" w:rsidP="00000000" w:rsidRDefault="00000000" w:rsidRPr="00000000" w14:paraId="0000003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la Linea di Investimento 3.2 del Piano Nazionale di Ripresa e Resilienza (Missione 4, Componente 1), denominata «Scuola 4.0: scuole innovative, cablaggio, nuovi ambienti di apprendimento e laboratori»;</w:t>
            </w:r>
          </w:p>
        </w:tc>
      </w:tr>
      <w:tr>
        <w:trPr>
          <w:cantSplit w:val="0"/>
          <w:tblHeader w:val="0"/>
        </w:trPr>
        <w:tc>
          <w:tcPr/>
          <w:p w:rsidR="00000000" w:rsidDel="00000000" w:rsidP="00000000" w:rsidRDefault="00000000" w:rsidRPr="00000000" w14:paraId="0000003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la Strategia per i diritti delle persone con disabilità 2021-2030 della Commissione europea;</w:t>
            </w:r>
          </w:p>
        </w:tc>
      </w:tr>
      <w:tr>
        <w:trPr>
          <w:cantSplit w:val="0"/>
          <w:tblHeader w:val="0"/>
        </w:trPr>
        <w:tc>
          <w:tcPr/>
          <w:p w:rsidR="00000000" w:rsidDel="00000000" w:rsidP="00000000" w:rsidRDefault="00000000" w:rsidRPr="00000000" w14:paraId="0000004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la circolare del 30 dicembre 2021, n. 32, del Ministero dell’economia e delle finanze – Dipartimento della Ragioneria generale dello Stato, avente ad oggetto “</w:t>
            </w:r>
            <w:r w:rsidDel="00000000" w:rsidR="00000000" w:rsidRPr="00000000">
              <w:rPr>
                <w:rFonts w:ascii="Calibri" w:cs="Calibri" w:eastAsia="Calibri" w:hAnsi="Calibri"/>
                <w:i w:val="1"/>
                <w:rtl w:val="0"/>
              </w:rPr>
              <w:t xml:space="preserve">Piano Nazionale di Ripresa e Resilienza – Guida operativa per il rispetto del principio di non arrecare danno significativo all’ambiente (DNSH)</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4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il Decreto del Ministro dell’istruzione 14 giugno 2022, n. 161, con il quale è stato adottato il “</w:t>
            </w:r>
            <w:r w:rsidDel="00000000" w:rsidR="00000000" w:rsidRPr="00000000">
              <w:rPr>
                <w:rFonts w:ascii="Calibri" w:cs="Calibri" w:eastAsia="Calibri" w:hAnsi="Calibri"/>
                <w:i w:val="1"/>
                <w:rtl w:val="0"/>
              </w:rPr>
              <w:t xml:space="preserve">Piano Scuola 4.0” in attuazione della linea di investimento 3.2 “Scuola 4.0: scuole innovative, cablaggio, nuovi ambienti di apprendimento e laboratori</w:t>
            </w:r>
            <w:r w:rsidDel="00000000" w:rsidR="00000000" w:rsidRPr="00000000">
              <w:rPr>
                <w:rFonts w:ascii="Calibri" w:cs="Calibri" w:eastAsia="Calibri" w:hAnsi="Calibri"/>
                <w:rtl w:val="0"/>
              </w:rPr>
              <w:t xml:space="preserve">” nell’ambito della Missione 4 – Componente 1 – del Piano nazionale di ripresa e resilienza, finanziato dall’Unione europea – </w:t>
            </w:r>
            <w:r w:rsidDel="00000000" w:rsidR="00000000" w:rsidRPr="00000000">
              <w:rPr>
                <w:rFonts w:ascii="Calibri" w:cs="Calibri" w:eastAsia="Calibri" w:hAnsi="Calibri"/>
                <w:i w:val="1"/>
                <w:rtl w:val="0"/>
              </w:rPr>
              <w:t xml:space="preserve">Next Generation EU</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4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color w:val="000000"/>
              </w:rPr>
            </w:pPr>
            <w:bookmarkStart w:colFirst="0" w:colLast="0" w:name="_heading=h.30j0zll" w:id="1"/>
            <w:bookmarkEnd w:id="1"/>
            <w:r w:rsidDel="00000000" w:rsidR="00000000" w:rsidRPr="00000000">
              <w:rPr>
                <w:rFonts w:ascii="Calibri" w:cs="Calibri" w:eastAsia="Calibri" w:hAnsi="Calibri"/>
                <w:color w:val="000000"/>
                <w:rtl w:val="0"/>
              </w:rPr>
              <w:t xml:space="preserve">il decreto-legge del 30 aprile 2022, n. 36, convertito, con modificazioni, dalla legge 29 giugno 2022, n. 79, recante «Ulteriori misure urgenti per l'attuazione del Piano nazionale di ripresa e resilienza (PNRR)» e, in particolare, l’art. 47, comma 5;</w:t>
            </w:r>
          </w:p>
        </w:tc>
      </w:tr>
      <w:tr>
        <w:trPr>
          <w:cantSplit w:val="0"/>
          <w:tblHeader w:val="0"/>
        </w:trPr>
        <w:tc>
          <w:tcPr/>
          <w:p w:rsidR="00000000" w:rsidDel="00000000" w:rsidP="00000000" w:rsidRDefault="00000000" w:rsidRPr="00000000" w14:paraId="0000004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w:t>
            </w:r>
          </w:p>
        </w:tc>
      </w:tr>
      <w:tr>
        <w:trPr>
          <w:cantSplit w:val="0"/>
          <w:tblHeader w:val="0"/>
        </w:trPr>
        <w:tc>
          <w:tcPr/>
          <w:p w:rsidR="00000000" w:rsidDel="00000000" w:rsidP="00000000" w:rsidRDefault="00000000" w:rsidRPr="00000000" w14:paraId="0000004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le circolari della Ragioneria Generale dello Stato n. 4 del 18 gennaio 2022 (</w:t>
            </w:r>
            <w:r w:rsidDel="00000000" w:rsidR="00000000" w:rsidRPr="00000000">
              <w:rPr>
                <w:rFonts w:ascii="Calibri" w:cs="Calibri" w:eastAsia="Calibri" w:hAnsi="Calibri"/>
                <w:i w:val="1"/>
                <w:rtl w:val="0"/>
              </w:rPr>
              <w:t xml:space="preserve">PNRR– articolo 1, comma 1, del decreto-legge n. 80 del 2021 – Indicazioni attuative</w:t>
            </w:r>
            <w:r w:rsidDel="00000000" w:rsidR="00000000" w:rsidRPr="00000000">
              <w:rPr>
                <w:rFonts w:ascii="Calibri" w:cs="Calibri" w:eastAsia="Calibri" w:hAnsi="Calibri"/>
                <w:rtl w:val="0"/>
              </w:rPr>
              <w:t xml:space="preserve">”) n. 21 del 29 aprile 2022 (Chiarimenti in relazione al riferimento alla disciplina nazionale in materia di contratti pubblici richiamata nei dispositivi attuativi relativi agli interventi PNRR e PNC) n. 27 del 21 giugno 2022 (</w:t>
            </w:r>
            <w:r w:rsidDel="00000000" w:rsidR="00000000" w:rsidRPr="00000000">
              <w:rPr>
                <w:rFonts w:ascii="Calibri" w:cs="Calibri" w:eastAsia="Calibri" w:hAnsi="Calibri"/>
                <w:i w:val="1"/>
                <w:rtl w:val="0"/>
              </w:rPr>
              <w:t xml:space="preserve">Monitoraggio delle misure PNRR</w:t>
            </w:r>
            <w:r w:rsidDel="00000000" w:rsidR="00000000" w:rsidRPr="00000000">
              <w:rPr>
                <w:rFonts w:ascii="Calibri" w:cs="Calibri" w:eastAsia="Calibri" w:hAnsi="Calibri"/>
                <w:rtl w:val="0"/>
              </w:rPr>
              <w:t xml:space="preserve">”) e n. 29 del 26 luglio 2022 (</w:t>
            </w:r>
            <w:r w:rsidDel="00000000" w:rsidR="00000000" w:rsidRPr="00000000">
              <w:rPr>
                <w:rFonts w:ascii="Calibri" w:cs="Calibri" w:eastAsia="Calibri" w:hAnsi="Calibri"/>
                <w:i w:val="1"/>
                <w:rtl w:val="0"/>
              </w:rPr>
              <w:t xml:space="preserve">procedure finanziarie PNRR)</w:t>
            </w:r>
            <w:r w:rsidDel="00000000" w:rsidR="00000000" w:rsidRPr="00000000">
              <w:rPr>
                <w:rFonts w:ascii="Calibri" w:cs="Calibri" w:eastAsia="Calibri" w:hAnsi="Calibri"/>
                <w:rtl w:val="0"/>
              </w:rPr>
              <w:t xml:space="preserve"> n. 30 del 11 agosto 2022 (</w:t>
            </w:r>
            <w:r w:rsidDel="00000000" w:rsidR="00000000" w:rsidRPr="00000000">
              <w:rPr>
                <w:rFonts w:ascii="Calibri" w:cs="Calibri" w:eastAsia="Calibri" w:hAnsi="Calibri"/>
                <w:i w:val="1"/>
                <w:rtl w:val="0"/>
              </w:rPr>
              <w:t xml:space="preserve">Linee Guida per lo svolgimento delle attività di controllo e rendicontazione delle Misure PNRR di competenza delle Amministrazioni centrali e dei Soggetti Attuatori)</w:t>
            </w:r>
            <w:r w:rsidDel="00000000" w:rsidR="00000000" w:rsidRPr="00000000">
              <w:rPr>
                <w:rFonts w:ascii="Calibri" w:cs="Calibri" w:eastAsia="Calibri" w:hAnsi="Calibri"/>
                <w:rtl w:val="0"/>
              </w:rPr>
              <w:t xml:space="preserve"> n. 33 del 13 ottobre 2022 (</w:t>
            </w:r>
            <w:r w:rsidDel="00000000" w:rsidR="00000000" w:rsidRPr="00000000">
              <w:rPr>
                <w:rFonts w:ascii="Calibri" w:cs="Calibri" w:eastAsia="Calibri" w:hAnsi="Calibri"/>
                <w:i w:val="1"/>
                <w:rtl w:val="0"/>
              </w:rPr>
              <w:t xml:space="preserve">Aggiornamento Guida operativa per il rispetto del principio di non arrecare danno significativo all’ambiente - DNSH)</w:t>
            </w:r>
            <w:r w:rsidDel="00000000" w:rsidR="00000000" w:rsidRPr="00000000">
              <w:rPr>
                <w:rFonts w:ascii="Calibri" w:cs="Calibri" w:eastAsia="Calibri" w:hAnsi="Calibri"/>
                <w:rtl w:val="0"/>
              </w:rPr>
              <w:t xml:space="preserve">, n. 34 del 17 ottobre 2022, n. 34 (</w:t>
            </w:r>
            <w:r w:rsidDel="00000000" w:rsidR="00000000" w:rsidRPr="00000000">
              <w:rPr>
                <w:rFonts w:ascii="Calibri" w:cs="Calibri" w:eastAsia="Calibri" w:hAnsi="Calibri"/>
                <w:i w:val="1"/>
                <w:rtl w:val="0"/>
              </w:rPr>
              <w:t xml:space="preserve">Linee guida metodologiche per la rendicontazione degli indicatori comuni per il PNRR)</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4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il Decreto del Ministero dell’Istruzione n. 218 dell’08/08/2022 recante “Riparto delle risorse alle istituzioni scolastiche in attuazione del Piano “Scuola 4.0”;</w:t>
            </w:r>
          </w:p>
        </w:tc>
      </w:tr>
      <w:tr>
        <w:trPr>
          <w:cantSplit w:val="0"/>
          <w:tblHeader w:val="0"/>
        </w:trPr>
        <w:tc>
          <w:tcPr/>
          <w:p w:rsidR="00000000" w:rsidDel="00000000" w:rsidP="00000000" w:rsidRDefault="00000000" w:rsidRPr="00000000" w14:paraId="0000004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la Nota Ministeriale prot. AOOGABMI 107624 del 21/12/2022 recante “Istruzioni operative. Investimento 3.2: Scuola 4.0</w:t>
            </w:r>
          </w:p>
        </w:tc>
      </w:tr>
      <w:tr>
        <w:trPr>
          <w:cantSplit w:val="0"/>
          <w:tblHeader w:val="0"/>
        </w:trPr>
        <w:tc>
          <w:tcPr/>
          <w:p w:rsidR="00000000" w:rsidDel="00000000" w:rsidP="00000000" w:rsidRDefault="00000000" w:rsidRPr="00000000" w14:paraId="0000004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Il PTOF 2023/2025;</w:t>
            </w:r>
          </w:p>
        </w:tc>
      </w:tr>
      <w:tr>
        <w:trPr>
          <w:cantSplit w:val="0"/>
          <w:tblHeader w:val="0"/>
        </w:trPr>
        <w:tc>
          <w:tcPr/>
          <w:p w:rsidR="00000000" w:rsidDel="00000000" w:rsidP="00000000" w:rsidRDefault="00000000" w:rsidRPr="00000000" w14:paraId="00000050">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708" w:hanging="708"/>
              <w:rPr>
                <w:rFonts w:ascii="Calibri" w:cs="Calibri" w:eastAsia="Calibri" w:hAnsi="Calibri"/>
                <w:color w:val="000000"/>
              </w:rPr>
            </w:pPr>
            <w:r w:rsidDel="00000000" w:rsidR="00000000" w:rsidRPr="00000000">
              <w:rPr>
                <w:rFonts w:ascii="Calibri" w:cs="Calibri" w:eastAsia="Calibri" w:hAnsi="Calibri"/>
                <w:color w:val="000000"/>
                <w:rtl w:val="0"/>
              </w:rPr>
              <w:t xml:space="preserve">L’accordo di concessione firmato dal Direttore generale e coordinatore dell’unità di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08" w:hanging="708"/>
              <w:rPr>
                <w:rFonts w:ascii="Calibri" w:cs="Calibri" w:eastAsia="Calibri" w:hAnsi="Calibri"/>
                <w:color w:val="000000"/>
              </w:rPr>
            </w:pPr>
            <w:r w:rsidDel="00000000" w:rsidR="00000000" w:rsidRPr="00000000">
              <w:rPr>
                <w:rFonts w:ascii="Calibri" w:cs="Calibri" w:eastAsia="Calibri" w:hAnsi="Calibri"/>
                <w:color w:val="000000"/>
                <w:rtl w:val="0"/>
              </w:rPr>
              <w:t xml:space="preserve">missione per il PNRR prot. AOOGABMI reg.uff</w:t>
            </w:r>
            <w:r w:rsidDel="00000000" w:rsidR="00000000" w:rsidRPr="00000000">
              <w:rPr>
                <w:rFonts w:ascii="Calibri" w:cs="Calibri" w:eastAsia="Calibri" w:hAnsi="Calibri"/>
                <w:color w:val="000000"/>
                <w:highlight w:val="yellow"/>
                <w:rtl w:val="0"/>
              </w:rPr>
              <w:t xml:space="preserve">. U.00….. del ………..</w:t>
            </w:r>
            <w:r w:rsidDel="00000000" w:rsidR="00000000" w:rsidRPr="00000000">
              <w:rPr>
                <w:rFonts w:ascii="Calibri" w:cs="Calibri" w:eastAsia="Calibri" w:hAnsi="Calibri"/>
                <w:color w:val="000000"/>
                <w:rtl w:val="0"/>
              </w:rPr>
              <w:t xml:space="preserve"> che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08" w:hanging="708"/>
              <w:rPr>
                <w:rFonts w:ascii="Calibri" w:cs="Calibri" w:eastAsia="Calibri" w:hAnsi="Calibri"/>
                <w:color w:val="000000"/>
              </w:rPr>
            </w:pPr>
            <w:r w:rsidDel="00000000" w:rsidR="00000000" w:rsidRPr="00000000">
              <w:rPr>
                <w:rFonts w:ascii="Calibri" w:cs="Calibri" w:eastAsia="Calibri" w:hAnsi="Calibri"/>
                <w:color w:val="000000"/>
                <w:rtl w:val="0"/>
              </w:rPr>
              <w:t xml:space="preserve">rappresenta la formale autorizzazione secondo il crono programma indicato all’art. 4 </w:t>
            </w:r>
          </w:p>
        </w:tc>
      </w:tr>
      <w:tr>
        <w:trPr>
          <w:cantSplit w:val="0"/>
          <w:tblHeader w:val="0"/>
        </w:trPr>
        <w:tc>
          <w:tcPr/>
          <w:p w:rsidR="00000000" w:rsidDel="00000000" w:rsidP="00000000" w:rsidRDefault="00000000" w:rsidRPr="00000000" w14:paraId="00000054">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il decreto-legge 24 febbraio 2023, n. 13, recante «Disposizioni urgenti per l'attuazione del Piano nazionale di ripresa e resilienza (PNRR) e del Piano nazionale degli investimenti complementari al PNRR (PNC), nonché per l'attuazione delle politiche di coesione e della politica agricola comune»;</w:t>
            </w:r>
            <w:r w:rsidDel="00000000" w:rsidR="00000000" w:rsidRPr="00000000">
              <w:rPr>
                <w:rtl w:val="0"/>
              </w:rPr>
            </w:r>
          </w:p>
        </w:tc>
      </w:tr>
      <w:tr>
        <w:trPr>
          <w:cantSplit w:val="0"/>
          <w:tblHeader w:val="0"/>
        </w:trPr>
        <w:tc>
          <w:tcPr/>
          <w:p w:rsidR="00000000" w:rsidDel="00000000" w:rsidP="00000000" w:rsidRDefault="00000000" w:rsidRPr="00000000" w14:paraId="0000005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Vista</w:t>
            </w:r>
          </w:p>
        </w:tc>
        <w:tc>
          <w:tcPr/>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il Programma Annuale per l’esercizio finanziario 2023 approvato con delibera </w:t>
            </w:r>
            <w:r w:rsidDel="00000000" w:rsidR="00000000" w:rsidRPr="00000000">
              <w:rPr>
                <w:rFonts w:ascii="Calibri" w:cs="Calibri" w:eastAsia="Calibri" w:hAnsi="Calibri"/>
                <w:highlight w:val="yellow"/>
                <w:rtl w:val="0"/>
              </w:rPr>
              <w:t xml:space="preserve">n° ……. del …..;</w:t>
            </w: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la delibera di approvazione e attuazione del progetto da parte del Collegio Docenti </w:t>
            </w:r>
            <w:r w:rsidDel="00000000" w:rsidR="00000000" w:rsidRPr="00000000">
              <w:rPr>
                <w:rFonts w:ascii="Calibri" w:cs="Calibri" w:eastAsia="Calibri" w:hAnsi="Calibri"/>
                <w:highlight w:val="yellow"/>
                <w:rtl w:val="0"/>
              </w:rPr>
              <w:t xml:space="preserve">del ……. n. ……. e del Consiglio di Istituto del ……… delibera n. ………</w:t>
            </w:r>
            <w:r w:rsidDel="00000000" w:rsidR="00000000" w:rsidRPr="00000000">
              <w:rPr>
                <w:rtl w:val="0"/>
              </w:rPr>
            </w:r>
          </w:p>
        </w:tc>
      </w:tr>
      <w:tr>
        <w:trPr>
          <w:cantSplit w:val="0"/>
          <w:tblHeader w:val="0"/>
        </w:trPr>
        <w:tc>
          <w:tcPr/>
          <w:p w:rsidR="00000000" w:rsidDel="00000000" w:rsidP="00000000" w:rsidRDefault="00000000" w:rsidRPr="00000000" w14:paraId="0000005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Considerata</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la necessità di adottare un sistema di contabilità separata (o una codificazione contabile adeguata) e informatizzata per tutte le transazioni relative al progetto per assicurare la tracciabilità dell’utilizzo delle risorse del PNRR;</w:t>
            </w:r>
            <w:r w:rsidDel="00000000" w:rsidR="00000000" w:rsidRPr="00000000">
              <w:rPr>
                <w:rtl w:val="0"/>
              </w:rPr>
            </w:r>
          </w:p>
        </w:tc>
      </w:tr>
      <w:tr>
        <w:trPr>
          <w:cantSplit w:val="0"/>
          <w:tblHeader w:val="0"/>
        </w:trPr>
        <w:tc>
          <w:tcPr/>
          <w:p w:rsidR="00000000" w:rsidDel="00000000" w:rsidP="00000000" w:rsidRDefault="00000000" w:rsidRPr="00000000" w14:paraId="0000005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5D">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il decreto di assunzione in bilancio del progetto PNRR Piano “Scuola 4.0” – Azione 2 Next </w:t>
            </w:r>
          </w:p>
          <w:p w:rsidR="00000000" w:rsidDel="00000000" w:rsidP="00000000" w:rsidRDefault="00000000" w:rsidRPr="00000000" w14:paraId="0000005E">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Generation Labs– D.M. n. 218/2022 – Codice identificativo del progetto: </w:t>
            </w:r>
          </w:p>
          <w:p w:rsidR="00000000" w:rsidDel="00000000" w:rsidP="00000000" w:rsidRDefault="00000000" w:rsidRPr="00000000" w14:paraId="0000005F">
            <w:pPr>
              <w:ind w:left="709" w:hanging="709"/>
              <w:jc w:val="both"/>
              <w:rPr>
                <w:rFonts w:ascii="Calibri" w:cs="Calibri" w:eastAsia="Calibri" w:hAnsi="Calibri"/>
                <w:highlight w:val="yellow"/>
              </w:rPr>
            </w:pPr>
            <w:r w:rsidDel="00000000" w:rsidR="00000000" w:rsidRPr="00000000">
              <w:rPr>
                <w:rFonts w:ascii="Calibri" w:cs="Calibri" w:eastAsia="Calibri" w:hAnsi="Calibri"/>
                <w:b w:val="1"/>
                <w:rtl w:val="0"/>
              </w:rPr>
              <w:t xml:space="preserve">M4C1I3.2-2022-961-P</w:t>
            </w:r>
            <w:r w:rsidDel="00000000" w:rsidR="00000000" w:rsidRPr="00000000">
              <w:rPr>
                <w:rFonts w:ascii="Calibri" w:cs="Calibri" w:eastAsia="Calibri" w:hAnsi="Calibri"/>
                <w:b w:val="1"/>
                <w:highlight w:val="yellow"/>
                <w:rtl w:val="0"/>
              </w:rPr>
              <w:t xml:space="preserve">-………   </w:t>
            </w:r>
            <w:r w:rsidDel="00000000" w:rsidR="00000000" w:rsidRPr="00000000">
              <w:rPr>
                <w:rFonts w:ascii="Calibri" w:cs="Calibri" w:eastAsia="Calibri" w:hAnsi="Calibri"/>
                <w:highlight w:val="yellow"/>
                <w:rtl w:val="0"/>
              </w:rPr>
              <w:t xml:space="preserve">CUP: </w:t>
            </w:r>
            <w:r w:rsidDel="00000000" w:rsidR="00000000" w:rsidRPr="00000000">
              <w:rPr>
                <w:rFonts w:ascii="Calibri" w:cs="Calibri" w:eastAsia="Calibri" w:hAnsi="Calibri"/>
                <w:b w:val="1"/>
                <w:highlight w:val="yellow"/>
                <w:rtl w:val="0"/>
              </w:rPr>
              <w:t xml:space="preserve">……… </w:t>
            </w:r>
            <w:r w:rsidDel="00000000" w:rsidR="00000000" w:rsidRPr="00000000">
              <w:rPr>
                <w:rFonts w:ascii="Calibri" w:cs="Calibri" w:eastAsia="Calibri" w:hAnsi="Calibri"/>
                <w:highlight w:val="yellow"/>
                <w:rtl w:val="0"/>
              </w:rPr>
              <w:t xml:space="preserve">nell’aggregato A03………. prot…… </w:t>
            </w:r>
          </w:p>
          <w:p w:rsidR="00000000" w:rsidDel="00000000" w:rsidP="00000000" w:rsidRDefault="00000000" w:rsidRPr="00000000" w14:paraId="00000060">
            <w:pPr>
              <w:ind w:left="709" w:hanging="709"/>
              <w:jc w:val="both"/>
              <w:rPr>
                <w:rFonts w:ascii="Calibri" w:cs="Calibri" w:eastAsia="Calibri" w:hAnsi="Calibri"/>
              </w:rPr>
            </w:pPr>
            <w:r w:rsidDel="00000000" w:rsidR="00000000" w:rsidRPr="00000000">
              <w:rPr>
                <w:rFonts w:ascii="Calibri" w:cs="Calibri" w:eastAsia="Calibri" w:hAnsi="Calibri"/>
                <w:highlight w:val="yellow"/>
                <w:rtl w:val="0"/>
              </w:rPr>
              <w:t xml:space="preserve">del ……….</w:t>
            </w: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l’art. 1, comma 449, della L. 27 dicembre 2006, n. 296, come modificato dall’art. 1, comma  495 della L. n. 28 dicembre 2015, n. 208, che prevede che tutte le amministrazioni statali centrali e  periferiche, </w:t>
              <w:tab/>
              <w:t xml:space="preserve">ivi comprese le scuole di ogni ordine e grado, sono tenute ad approvvigionarsi utilizzando le </w:t>
              <w:tab/>
              <w:t xml:space="preserve">convenzioni stipulate da Consip S.p.A.;</w:t>
            </w: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64">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l’art. 1, comma 583, della L. 27 dicembre 2019, n. 160, che prevede che «Fermo restando </w:t>
            </w:r>
          </w:p>
          <w:p w:rsidR="00000000" w:rsidDel="00000000" w:rsidP="00000000" w:rsidRDefault="00000000" w:rsidRPr="00000000" w14:paraId="00000065">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quanto previsto dall'articolo 1, commi 449 e 450, della legge 27 dicembre 2006, n. 296, le </w:t>
            </w:r>
          </w:p>
          <w:p w:rsidR="00000000" w:rsidDel="00000000" w:rsidP="00000000" w:rsidRDefault="00000000" w:rsidRPr="00000000" w14:paraId="00000066">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amministrazioni statali centrali e   periferiche,   ivi compresi gli istituti e   le scuole di ogni </w:t>
            </w:r>
          </w:p>
          <w:p w:rsidR="00000000" w:rsidDel="00000000" w:rsidP="00000000" w:rsidRDefault="00000000" w:rsidRPr="00000000" w14:paraId="00000067">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ordine e grado, le istituzioni educative e le istituzioni universitarie nonché gli enti nazionali </w:t>
            </w:r>
          </w:p>
          <w:p w:rsidR="00000000" w:rsidDel="00000000" w:rsidP="00000000" w:rsidRDefault="00000000" w:rsidRPr="00000000" w14:paraId="00000068">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di previdenza e assistenza sociale pubblici e le agenzie fiscali di cui al decreto legislativo 30 </w:t>
            </w:r>
          </w:p>
          <w:p w:rsidR="00000000" w:rsidDel="00000000" w:rsidP="00000000" w:rsidRDefault="00000000" w:rsidRPr="00000000" w14:paraId="00000069">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luglio 1999, n. 300, sono tenute ad   approvvigionarsi   attraverso   gli   accordi   quadro </w:t>
            </w:r>
          </w:p>
          <w:p w:rsidR="00000000" w:rsidDel="00000000" w:rsidP="00000000" w:rsidRDefault="00000000" w:rsidRPr="00000000" w14:paraId="0000006A">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stipulati dalla Consip Spa o il sistema dinamico di acquisizione realizzato e gestito dalla </w:t>
            </w:r>
          </w:p>
          <w:p w:rsidR="00000000" w:rsidDel="00000000" w:rsidP="00000000" w:rsidRDefault="00000000" w:rsidRPr="00000000" w14:paraId="0000006B">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Consip Spa»;</w:t>
            </w:r>
          </w:p>
        </w:tc>
      </w:tr>
      <w:tr>
        <w:trPr>
          <w:cantSplit w:val="0"/>
          <w:tblHeader w:val="0"/>
        </w:trPr>
        <w:tc>
          <w:tcPr/>
          <w:p w:rsidR="00000000" w:rsidDel="00000000" w:rsidP="00000000" w:rsidRDefault="00000000" w:rsidRPr="00000000" w14:paraId="0000006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6D">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che la fornitura non rientra in nessuna delle Convenzioni Consip S.p.A. attive, ex decreto-</w:t>
            </w:r>
          </w:p>
          <w:p w:rsidR="00000000" w:rsidDel="00000000" w:rsidP="00000000" w:rsidRDefault="00000000" w:rsidRPr="00000000" w14:paraId="0000006E">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legge 7 maggio 2012, n. 52, convertito, con modificazioni, dalla legge 6 luglio 2012, n. 94, </w:t>
            </w:r>
          </w:p>
          <w:p w:rsidR="00000000" w:rsidDel="00000000" w:rsidP="00000000" w:rsidRDefault="00000000" w:rsidRPr="00000000" w14:paraId="0000006F">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recante disposizioni urgenti per la razionalizzazione della spesa pubblica; della legge 24 </w:t>
            </w:r>
          </w:p>
          <w:p w:rsidR="00000000" w:rsidDel="00000000" w:rsidP="00000000" w:rsidRDefault="00000000" w:rsidRPr="00000000" w14:paraId="00000070">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dicembre 2012, n. 228, recante disposizioni per la formazione del bilancio annuale e </w:t>
            </w:r>
          </w:p>
          <w:p w:rsidR="00000000" w:rsidDel="00000000" w:rsidP="00000000" w:rsidRDefault="00000000" w:rsidRPr="00000000" w14:paraId="00000071">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pluriennale dello Stato (legge di stabilità 2013), e  della legge 28 dicembre 2015, n. 208, </w:t>
            </w:r>
          </w:p>
          <w:p w:rsidR="00000000" w:rsidDel="00000000" w:rsidP="00000000" w:rsidRDefault="00000000" w:rsidRPr="00000000" w14:paraId="00000072">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recante disposizioni per la formazione del bilancio annuale e pluriennale dello Stato (legge </w:t>
            </w:r>
          </w:p>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rtl w:val="0"/>
              </w:rPr>
              <w:t xml:space="preserve">di stabilità 2016) oppure rientra nella </w:t>
            </w:r>
            <w:r w:rsidDel="00000000" w:rsidR="00000000" w:rsidRPr="00000000">
              <w:rPr>
                <w:rFonts w:ascii="Calibri" w:cs="Calibri" w:eastAsia="Calibri" w:hAnsi="Calibri"/>
                <w:highlight w:val="yellow"/>
                <w:rtl w:val="0"/>
              </w:rPr>
              <w:t xml:space="preserve">convenzione Consip …………..</w:t>
            </w:r>
            <w:r w:rsidDel="00000000" w:rsidR="00000000" w:rsidRPr="00000000">
              <w:rPr>
                <w:rFonts w:ascii="Calibri" w:cs="Calibri" w:eastAsia="Calibri" w:hAnsi="Calibri"/>
                <w:rtl w:val="0"/>
              </w:rPr>
              <w:t xml:space="preserve"> di cui si decide di non  avvalersi in quanto inidonea per carenza di caratteristiche essenziali previo invio della </w:t>
            </w:r>
          </w:p>
          <w:p w:rsidR="00000000" w:rsidDel="00000000" w:rsidP="00000000" w:rsidRDefault="00000000" w:rsidRPr="00000000" w14:paraId="00000074">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presente determina alla sezione regionale della Corte dei Conti;</w:t>
            </w:r>
          </w:p>
        </w:tc>
      </w:tr>
      <w:tr>
        <w:trPr>
          <w:cantSplit w:val="0"/>
          <w:tblHeader w:val="0"/>
        </w:trPr>
        <w:tc>
          <w:tcPr/>
          <w:p w:rsidR="00000000" w:rsidDel="00000000" w:rsidP="00000000" w:rsidRDefault="00000000" w:rsidRPr="00000000" w14:paraId="00000075">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76">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che per gli acquisti di beni e servizi informatici ai sensi del comma 512 dell’art. 1 della </w:t>
            </w:r>
          </w:p>
          <w:p w:rsidR="00000000" w:rsidDel="00000000" w:rsidP="00000000" w:rsidRDefault="00000000" w:rsidRPr="00000000" w14:paraId="00000077">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Legge 208/2015 vige l’obbligo di  acquisizione esclusivamente tramite gli strumenti di </w:t>
            </w:r>
          </w:p>
          <w:p w:rsidR="00000000" w:rsidDel="00000000" w:rsidP="00000000" w:rsidRDefault="00000000" w:rsidRPr="00000000" w14:paraId="00000078">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acquisto e di negoziazione di Consip Spa</w:t>
            </w:r>
          </w:p>
        </w:tc>
      </w:tr>
      <w:tr>
        <w:trPr>
          <w:cantSplit w:val="0"/>
          <w:tblHeader w:val="0"/>
        </w:trPr>
        <w:tc>
          <w:tcPr/>
          <w:p w:rsidR="00000000" w:rsidDel="00000000" w:rsidP="00000000" w:rsidRDefault="00000000" w:rsidRPr="00000000" w14:paraId="0000007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7A">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del piano biennale degli acquisti di beni e servizi deliberato dal Consiglio di Istituto in data </w:t>
            </w:r>
          </w:p>
          <w:p w:rsidR="00000000" w:rsidDel="00000000" w:rsidP="00000000" w:rsidRDefault="00000000" w:rsidRPr="00000000" w14:paraId="0000007B">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 Con delibera …. relativo al biennio 2023-2023 pubblicato sul portale Servizio contratti </w:t>
            </w:r>
          </w:p>
          <w:p w:rsidR="00000000" w:rsidDel="00000000" w:rsidP="00000000" w:rsidRDefault="00000000" w:rsidRPr="00000000" w14:paraId="0000007C">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pubblici presente sul sito del MIT (ora MIMS)</w:t>
            </w:r>
          </w:p>
        </w:tc>
      </w:tr>
      <w:tr>
        <w:trPr>
          <w:cantSplit w:val="0"/>
          <w:tblHeader w:val="0"/>
        </w:trPr>
        <w:tc>
          <w:tcPr/>
          <w:p w:rsidR="00000000" w:rsidDel="00000000" w:rsidP="00000000" w:rsidRDefault="00000000" w:rsidRPr="00000000" w14:paraId="0000007D">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Rilevata</w:t>
            </w:r>
          </w:p>
        </w:tc>
        <w:tc>
          <w:tcPr/>
          <w:p w:rsidR="00000000" w:rsidDel="00000000" w:rsidP="00000000" w:rsidRDefault="00000000" w:rsidRPr="00000000" w14:paraId="0000007E">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l’esigenza di avviare, in relazione all’importo finanziario, la procedura per l’acquisizione dei beni in </w:t>
            </w:r>
          </w:p>
          <w:p w:rsidR="00000000" w:rsidDel="00000000" w:rsidP="00000000" w:rsidRDefault="00000000" w:rsidRPr="00000000" w14:paraId="0000007F">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oggetto utilizzando la procedura di affidamento diretto ex art. 50 comma 1, lett b) del D.lgs.  n. 36 </w:t>
            </w:r>
          </w:p>
          <w:p w:rsidR="00000000" w:rsidDel="00000000" w:rsidP="00000000" w:rsidRDefault="00000000" w:rsidRPr="00000000" w14:paraId="00000080">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del 2023, nel rispetto dei principi generali sanciti dagli artt. 1-12 nonché di quelli afferenti </w:t>
            </w:r>
          </w:p>
          <w:p w:rsidR="00000000" w:rsidDel="00000000" w:rsidP="00000000" w:rsidRDefault="00000000" w:rsidRPr="00000000" w14:paraId="00000081">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precipuamente al sistema degli affidamenti diretti e sotto-soglia di importo inferiore a 140.000,00, </w:t>
            </w:r>
          </w:p>
          <w:p w:rsidR="00000000" w:rsidDel="00000000" w:rsidP="00000000" w:rsidRDefault="00000000" w:rsidRPr="00000000" w14:paraId="00000082">
            <w:pPr>
              <w:ind w:left="709" w:hanging="709"/>
              <w:jc w:val="both"/>
              <w:rPr>
                <w:rFonts w:ascii="Calibri" w:cs="Calibri" w:eastAsia="Calibri" w:hAnsi="Calibri"/>
                <w:i w:val="1"/>
              </w:rPr>
            </w:pPr>
            <w:r w:rsidDel="00000000" w:rsidR="00000000" w:rsidRPr="00000000">
              <w:rPr>
                <w:rFonts w:ascii="Calibri" w:cs="Calibri" w:eastAsia="Calibri" w:hAnsi="Calibri"/>
                <w:i w:val="1"/>
                <w:rtl w:val="0"/>
              </w:rPr>
              <w:t xml:space="preserve">anche senza consultazione di più operatori economici, assicurando che siano scelti soggetti in </w:t>
            </w:r>
          </w:p>
          <w:p w:rsidR="00000000" w:rsidDel="00000000" w:rsidP="00000000" w:rsidRDefault="00000000" w:rsidRPr="00000000" w14:paraId="00000083">
            <w:pPr>
              <w:ind w:left="709" w:hanging="709"/>
              <w:jc w:val="both"/>
              <w:rPr>
                <w:rFonts w:ascii="Calibri" w:cs="Calibri" w:eastAsia="Calibri" w:hAnsi="Calibri"/>
                <w:i w:val="1"/>
              </w:rPr>
            </w:pPr>
            <w:r w:rsidDel="00000000" w:rsidR="00000000" w:rsidRPr="00000000">
              <w:rPr>
                <w:rFonts w:ascii="Calibri" w:cs="Calibri" w:eastAsia="Calibri" w:hAnsi="Calibri"/>
                <w:i w:val="1"/>
                <w:rtl w:val="0"/>
              </w:rPr>
              <w:t xml:space="preserve">possesso di documentate esperienze pregresse idonee all’esecuzione delle prestazioni contrattuali, </w:t>
            </w:r>
          </w:p>
          <w:p w:rsidR="00000000" w:rsidDel="00000000" w:rsidP="00000000" w:rsidRDefault="00000000" w:rsidRPr="00000000" w14:paraId="00000084">
            <w:pPr>
              <w:ind w:left="709" w:hanging="709"/>
              <w:jc w:val="both"/>
              <w:rPr>
                <w:rFonts w:ascii="Calibri" w:cs="Calibri" w:eastAsia="Calibri" w:hAnsi="Calibri"/>
              </w:rPr>
            </w:pPr>
            <w:r w:rsidDel="00000000" w:rsidR="00000000" w:rsidRPr="00000000">
              <w:rPr>
                <w:rFonts w:ascii="Calibri" w:cs="Calibri" w:eastAsia="Calibri" w:hAnsi="Calibri"/>
                <w:i w:val="1"/>
                <w:rtl w:val="0"/>
              </w:rPr>
              <w:t xml:space="preserve">anche individuati tra gli iscritti in elenchi o albi istituiti dalla stazione appaltante</w:t>
            </w:r>
            <w:r w:rsidDel="00000000" w:rsidR="00000000" w:rsidRPr="00000000">
              <w:rPr>
                <w:rtl w:val="0"/>
              </w:rPr>
            </w:r>
          </w:p>
        </w:tc>
      </w:tr>
      <w:tr>
        <w:trPr>
          <w:cantSplit w:val="0"/>
          <w:tblHeader w:val="0"/>
        </w:trPr>
        <w:tc>
          <w:tcPr/>
          <w:p w:rsidR="00000000" w:rsidDel="00000000" w:rsidP="00000000" w:rsidRDefault="00000000" w:rsidRPr="00000000" w14:paraId="00000085">
            <w:pPr>
              <w:ind w:right="-187"/>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86">
            <w:pPr>
              <w:ind w:left="141" w:hanging="141"/>
              <w:jc w:val="both"/>
              <w:rPr>
                <w:rFonts w:ascii="Calibri" w:cs="Calibri" w:eastAsia="Calibri" w:hAnsi="Calibri"/>
              </w:rPr>
            </w:pPr>
            <w:r w:rsidDel="00000000" w:rsidR="00000000" w:rsidRPr="00000000">
              <w:rPr>
                <w:rFonts w:ascii="Calibri" w:cs="Calibri" w:eastAsia="Calibri" w:hAnsi="Calibri"/>
                <w:rtl w:val="0"/>
              </w:rPr>
              <w:t xml:space="preserve">ai sensi dell’art. 3, comma 9 lett. d) dell’Allegato I.1 al codice dei contratti, si intende per </w:t>
            </w:r>
          </w:p>
          <w:p w:rsidR="00000000" w:rsidDel="00000000" w:rsidP="00000000" w:rsidRDefault="00000000" w:rsidRPr="00000000" w14:paraId="00000087">
            <w:pPr>
              <w:ind w:left="141" w:hanging="141"/>
              <w:jc w:val="both"/>
              <w:rPr>
                <w:rFonts w:ascii="Calibri" w:cs="Calibri" w:eastAsia="Calibri" w:hAnsi="Calibri"/>
                <w:i w:val="1"/>
              </w:rPr>
            </w:pPr>
            <w:r w:rsidDel="00000000" w:rsidR="00000000" w:rsidRPr="00000000">
              <w:rPr>
                <w:rFonts w:ascii="Calibri" w:cs="Calibri" w:eastAsia="Calibri" w:hAnsi="Calibri"/>
                <w:rtl w:val="0"/>
              </w:rPr>
              <w:t xml:space="preserve">«affidamento diretto», </w:t>
            </w:r>
            <w:r w:rsidDel="00000000" w:rsidR="00000000" w:rsidRPr="00000000">
              <w:rPr>
                <w:rFonts w:ascii="Calibri" w:cs="Calibri" w:eastAsia="Calibri" w:hAnsi="Calibri"/>
                <w:i w:val="1"/>
                <w:rtl w:val="0"/>
              </w:rPr>
              <w:t xml:space="preserve">l’affidamento del contratto senza una procedura di gara, nel quale, anche </w:t>
            </w:r>
          </w:p>
          <w:p w:rsidR="00000000" w:rsidDel="00000000" w:rsidP="00000000" w:rsidRDefault="00000000" w:rsidRPr="00000000" w14:paraId="00000088">
            <w:pPr>
              <w:ind w:left="141" w:hanging="141"/>
              <w:jc w:val="both"/>
              <w:rPr>
                <w:rFonts w:ascii="Calibri" w:cs="Calibri" w:eastAsia="Calibri" w:hAnsi="Calibri"/>
                <w:i w:val="1"/>
              </w:rPr>
            </w:pPr>
            <w:r w:rsidDel="00000000" w:rsidR="00000000" w:rsidRPr="00000000">
              <w:rPr>
                <w:rFonts w:ascii="Calibri" w:cs="Calibri" w:eastAsia="Calibri" w:hAnsi="Calibri"/>
                <w:i w:val="1"/>
                <w:rtl w:val="0"/>
              </w:rPr>
              <w:t xml:space="preserve">nel caso di previo interpello di più operatori economici, la scelta è operata discrezionalmente dalla </w:t>
            </w:r>
          </w:p>
          <w:p w:rsidR="00000000" w:rsidDel="00000000" w:rsidP="00000000" w:rsidRDefault="00000000" w:rsidRPr="00000000" w14:paraId="00000089">
            <w:pPr>
              <w:ind w:left="141" w:hanging="141"/>
              <w:jc w:val="both"/>
              <w:rPr>
                <w:rFonts w:ascii="Calibri" w:cs="Calibri" w:eastAsia="Calibri" w:hAnsi="Calibri"/>
                <w:i w:val="1"/>
              </w:rPr>
            </w:pPr>
            <w:r w:rsidDel="00000000" w:rsidR="00000000" w:rsidRPr="00000000">
              <w:rPr>
                <w:rFonts w:ascii="Calibri" w:cs="Calibri" w:eastAsia="Calibri" w:hAnsi="Calibri"/>
                <w:i w:val="1"/>
                <w:rtl w:val="0"/>
              </w:rPr>
              <w:t xml:space="preserve">stazione appaltante, nel rispetto dei criteri qualitativi e quantitativi di cui all’articolo 50, comma 1 </w:t>
            </w:r>
          </w:p>
          <w:p w:rsidR="00000000" w:rsidDel="00000000" w:rsidP="00000000" w:rsidRDefault="00000000" w:rsidRPr="00000000" w14:paraId="0000008A">
            <w:pPr>
              <w:ind w:left="141" w:hanging="141"/>
              <w:jc w:val="both"/>
              <w:rPr>
                <w:rFonts w:ascii="Calibri" w:cs="Calibri" w:eastAsia="Calibri" w:hAnsi="Calibri"/>
              </w:rPr>
            </w:pPr>
            <w:r w:rsidDel="00000000" w:rsidR="00000000" w:rsidRPr="00000000">
              <w:rPr>
                <w:rFonts w:ascii="Calibri" w:cs="Calibri" w:eastAsia="Calibri" w:hAnsi="Calibri"/>
                <w:i w:val="1"/>
                <w:rtl w:val="0"/>
              </w:rPr>
              <w:t xml:space="preserve">lettere a) e b), del codice e dei requisiti generali o speciali previsti dal medesimo codice</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08B">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 </w:t>
            </w:r>
          </w:p>
        </w:tc>
        <w:tc>
          <w:tcPr/>
          <w:p w:rsidR="00000000" w:rsidDel="00000000" w:rsidP="00000000" w:rsidRDefault="00000000" w:rsidRPr="00000000" w14:paraId="0000008C">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di procedere ad avviare il procedimento di acquisto indicando un lotto unico per ragioni connesse </w:t>
            </w:r>
          </w:p>
          <w:p w:rsidR="00000000" w:rsidDel="00000000" w:rsidP="00000000" w:rsidRDefault="00000000" w:rsidRPr="00000000" w14:paraId="0000008D">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alle caratteristiche della gara e all’efficienza della prestazione cos’ come previsto dall’art. 58 comma </w:t>
            </w:r>
          </w:p>
          <w:p w:rsidR="00000000" w:rsidDel="00000000" w:rsidP="00000000" w:rsidRDefault="00000000" w:rsidRPr="00000000" w14:paraId="0000008E">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4 del D.Lgs 36/2023, considerata la categoria merceologica dei beni inseriti nel capitolato tecnico di </w:t>
            </w:r>
          </w:p>
          <w:p w:rsidR="00000000" w:rsidDel="00000000" w:rsidP="00000000" w:rsidRDefault="00000000" w:rsidRPr="00000000" w14:paraId="0000008F">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riferimento che, alla luce dell’istruttoria svolta, l’importo della fornitura è ricompreso nel limite di </w:t>
            </w:r>
          </w:p>
          <w:p w:rsidR="00000000" w:rsidDel="00000000" w:rsidP="00000000" w:rsidRDefault="00000000" w:rsidRPr="00000000" w14:paraId="00000090">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cui al citato art. 50, co. 1, lett. b), del d. lgs. n. 36/2023 e che, nel rispetto del principio di efficacia, </w:t>
            </w:r>
          </w:p>
          <w:p w:rsidR="00000000" w:rsidDel="00000000" w:rsidP="00000000" w:rsidRDefault="00000000" w:rsidRPr="00000000" w14:paraId="00000091">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lo stesso non è stato oggetto di artificiosi frazionamenti</w:t>
            </w:r>
          </w:p>
        </w:tc>
      </w:tr>
      <w:tr>
        <w:trPr>
          <w:cantSplit w:val="0"/>
          <w:tblHeader w:val="0"/>
        </w:trPr>
        <w:tc>
          <w:tcPr/>
          <w:p w:rsidR="00000000" w:rsidDel="00000000" w:rsidP="00000000" w:rsidRDefault="00000000" w:rsidRPr="00000000" w14:paraId="00000092">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93">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Che ai sensi dell’art. 54, comma 1 del D.Lgs 36/2023,  per gli affidamenti sotto soglia non è </w:t>
            </w:r>
          </w:p>
          <w:p w:rsidR="00000000" w:rsidDel="00000000" w:rsidP="00000000" w:rsidRDefault="00000000" w:rsidRPr="00000000" w14:paraId="00000094">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applicata l’esclusione automatica delle offerte anomale, in ogni caso le stazioni appaltanti  </w:t>
            </w:r>
          </w:p>
          <w:p w:rsidR="00000000" w:rsidDel="00000000" w:rsidP="00000000" w:rsidRDefault="00000000" w:rsidRPr="00000000" w14:paraId="00000095">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valuterà la congruità di ogni altra offerta che, in base ad elementi specifici, appaia anormalmente </w:t>
            </w:r>
          </w:p>
          <w:p w:rsidR="00000000" w:rsidDel="00000000" w:rsidP="00000000" w:rsidRDefault="00000000" w:rsidRPr="00000000" w14:paraId="00000096">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bassa</w:t>
            </w:r>
          </w:p>
        </w:tc>
      </w:tr>
      <w:tr>
        <w:trPr>
          <w:cantSplit w:val="0"/>
          <w:tblHeader w:val="0"/>
        </w:trPr>
        <w:tc>
          <w:tcPr/>
          <w:p w:rsidR="00000000" w:rsidDel="00000000" w:rsidP="00000000" w:rsidRDefault="00000000" w:rsidRPr="00000000" w14:paraId="00000097">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 </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ind w:left="709" w:hanging="709"/>
              <w:jc w:val="both"/>
              <w:rPr>
                <w:rFonts w:ascii="Calibri" w:cs="Calibri" w:eastAsia="Calibri" w:hAnsi="Calibri"/>
              </w:rPr>
            </w:pPr>
            <w:r w:rsidDel="00000000" w:rsidR="00000000" w:rsidRPr="00000000">
              <w:rPr>
                <w:rFonts w:ascii="Calibri" w:cs="Calibri" w:eastAsia="Calibri" w:hAnsi="Calibri"/>
                <w:rtl w:val="0"/>
              </w:rPr>
              <w:t xml:space="preserve">Che l’art. 18 c. 10 del D.Lgs 36/2023, prevede che la stipula del contratto è soggetta </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09" w:hanging="709"/>
              <w:jc w:val="both"/>
              <w:rPr>
                <w:rFonts w:ascii="Calibri" w:cs="Calibri" w:eastAsia="Calibri" w:hAnsi="Calibri"/>
              </w:rPr>
            </w:pPr>
            <w:r w:rsidDel="00000000" w:rsidR="00000000" w:rsidRPr="00000000">
              <w:rPr>
                <w:rFonts w:ascii="Calibri" w:cs="Calibri" w:eastAsia="Calibri" w:hAnsi="Calibri"/>
                <w:rtl w:val="0"/>
              </w:rPr>
              <w:t xml:space="preserve">all’assolvimento dell’imposta di bollo da parte dell’operatore economico aggiudicatario, secondo </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09" w:hanging="709"/>
              <w:jc w:val="both"/>
              <w:rPr>
                <w:rFonts w:ascii="Calibri" w:cs="Calibri" w:eastAsia="Calibri" w:hAnsi="Calibri"/>
              </w:rPr>
            </w:pPr>
            <w:r w:rsidDel="00000000" w:rsidR="00000000" w:rsidRPr="00000000">
              <w:rPr>
                <w:rFonts w:ascii="Calibri" w:cs="Calibri" w:eastAsia="Calibri" w:hAnsi="Calibri"/>
                <w:rtl w:val="0"/>
              </w:rPr>
              <w:t xml:space="preserve">quanto previsto dalla tabella A dell’allegato I.4 del D.Lgs 36/2023 e con le modalità dettate dal </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09" w:hanging="709"/>
              <w:jc w:val="both"/>
              <w:rPr>
                <w:rFonts w:ascii="Calibri" w:cs="Calibri" w:eastAsia="Calibri" w:hAnsi="Calibri"/>
              </w:rPr>
            </w:pPr>
            <w:r w:rsidDel="00000000" w:rsidR="00000000" w:rsidRPr="00000000">
              <w:rPr>
                <w:rFonts w:ascii="Calibri" w:cs="Calibri" w:eastAsia="Calibri" w:hAnsi="Calibri"/>
                <w:rtl w:val="0"/>
              </w:rPr>
              <w:t xml:space="preserve">provvedimento dell’Agenzia delle Entrate</w:t>
            </w:r>
          </w:p>
        </w:tc>
      </w:tr>
      <w:tr>
        <w:trPr>
          <w:cantSplit w:val="0"/>
          <w:tblHeader w:val="0"/>
        </w:trPr>
        <w:tc>
          <w:tcPr/>
          <w:p w:rsidR="00000000" w:rsidDel="00000000" w:rsidP="00000000" w:rsidRDefault="00000000" w:rsidRPr="00000000" w14:paraId="0000009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Fermo restando</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both"/>
              <w:rPr>
                <w:rFonts w:ascii="Calibri" w:cs="Calibri" w:eastAsia="Calibri" w:hAnsi="Calibri"/>
              </w:rPr>
            </w:pPr>
            <w:r w:rsidDel="00000000" w:rsidR="00000000" w:rsidRPr="00000000">
              <w:rPr>
                <w:rFonts w:ascii="Calibri" w:cs="Calibri" w:eastAsia="Calibri" w:hAnsi="Calibri"/>
                <w:rtl w:val="0"/>
              </w:rPr>
              <w:t xml:space="preserve">Che l’art. 11 del D.Lgs 36/2023 prevede che al personale impiegato dall’operatore economico nella fornitura oggetto del presente provvedimento, sia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w:t>
            </w:r>
          </w:p>
        </w:tc>
      </w:tr>
      <w:tr>
        <w:trPr>
          <w:cantSplit w:val="0"/>
          <w:tblHeader w:val="0"/>
        </w:trPr>
        <w:tc>
          <w:tcPr/>
          <w:p w:rsidR="00000000" w:rsidDel="00000000" w:rsidP="00000000" w:rsidRDefault="00000000" w:rsidRPr="00000000" w14:paraId="0000009E">
            <w:pPr>
              <w:ind w:right="-187"/>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Richiamato</w:t>
            </w:r>
          </w:p>
        </w:tc>
        <w:tc>
          <w:tcPr/>
          <w:p w:rsidR="00000000" w:rsidDel="00000000" w:rsidP="00000000" w:rsidRDefault="00000000" w:rsidRPr="00000000" w14:paraId="0000009F">
            <w:pPr>
              <w:ind w:left="141" w:hanging="141"/>
              <w:jc w:val="both"/>
              <w:rPr>
                <w:rFonts w:ascii="Calibri" w:cs="Calibri" w:eastAsia="Calibri" w:hAnsi="Calibri"/>
              </w:rPr>
            </w:pPr>
            <w:r w:rsidDel="00000000" w:rsidR="00000000" w:rsidRPr="00000000">
              <w:rPr>
                <w:rFonts w:ascii="Calibri" w:cs="Calibri" w:eastAsia="Calibri" w:hAnsi="Calibri"/>
                <w:rtl w:val="0"/>
              </w:rPr>
              <w:t xml:space="preserve">l’Allegato II.2 al codice dei contratti, afferente a “Elenchi degli operatori economici e indagini di </w:t>
            </w:r>
          </w:p>
          <w:p w:rsidR="00000000" w:rsidDel="00000000" w:rsidP="00000000" w:rsidRDefault="00000000" w:rsidRPr="00000000" w14:paraId="000000A0">
            <w:pPr>
              <w:ind w:left="141" w:hanging="141"/>
              <w:jc w:val="both"/>
              <w:rPr>
                <w:rFonts w:ascii="Calibri" w:cs="Calibri" w:eastAsia="Calibri" w:hAnsi="Calibri"/>
              </w:rPr>
            </w:pPr>
            <w:r w:rsidDel="00000000" w:rsidR="00000000" w:rsidRPr="00000000">
              <w:rPr>
                <w:rFonts w:ascii="Calibri" w:cs="Calibri" w:eastAsia="Calibri" w:hAnsi="Calibri"/>
                <w:rtl w:val="0"/>
              </w:rPr>
              <w:t xml:space="preserve">mercato per gli affidamenti di contratti di importo inferiore alle soglie di rilevanza europea”;</w:t>
            </w:r>
          </w:p>
        </w:tc>
      </w:tr>
      <w:tr>
        <w:trPr>
          <w:cantSplit w:val="0"/>
          <w:tblHeader w:val="0"/>
        </w:trPr>
        <w:tc>
          <w:tcPr/>
          <w:p w:rsidR="00000000" w:rsidDel="00000000" w:rsidP="00000000" w:rsidRDefault="00000000" w:rsidRPr="00000000" w14:paraId="000000A1">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Viste</w:t>
            </w:r>
          </w:p>
        </w:tc>
        <w:tc>
          <w:tcPr/>
          <w:p w:rsidR="00000000" w:rsidDel="00000000" w:rsidP="00000000" w:rsidRDefault="00000000" w:rsidRPr="00000000" w14:paraId="000000A2">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L’assenza di incompatibilità da parte del Rup e dei progettisti e di tutte le figure che collaboreranno </w:t>
            </w:r>
          </w:p>
          <w:p w:rsidR="00000000" w:rsidDel="00000000" w:rsidP="00000000" w:rsidRDefault="00000000" w:rsidRPr="00000000" w14:paraId="000000A3">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nel procedimento di acquisto così come risulta dalle dichiarazioni presentate dagli interessati </w:t>
            </w:r>
          </w:p>
          <w:p w:rsidR="00000000" w:rsidDel="00000000" w:rsidP="00000000" w:rsidRDefault="00000000" w:rsidRPr="00000000" w14:paraId="000000A4">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assunte a protocollo;</w:t>
            </w:r>
          </w:p>
        </w:tc>
      </w:tr>
      <w:tr>
        <w:trPr>
          <w:cantSplit w:val="0"/>
          <w:tblHeader w:val="0"/>
        </w:trPr>
        <w:tc>
          <w:tcPr/>
          <w:p w:rsidR="00000000" w:rsidDel="00000000" w:rsidP="00000000" w:rsidRDefault="00000000" w:rsidRPr="00000000" w14:paraId="000000A5">
            <w:pPr>
              <w:ind w:left="-141"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tc>
        <w:tc>
          <w:tcPr/>
          <w:p w:rsidR="00000000" w:rsidDel="00000000" w:rsidP="00000000" w:rsidRDefault="00000000" w:rsidRPr="00000000" w14:paraId="000000A6">
            <w:pPr>
              <w:widowControl w:val="0"/>
              <w:spacing w:after="120" w:lineRule="auto"/>
              <w:ind w:hanging="141"/>
              <w:rPr>
                <w:rFonts w:ascii="Calibri" w:cs="Calibri" w:eastAsia="Calibri" w:hAnsi="Calibri"/>
              </w:rPr>
            </w:pPr>
            <w:r w:rsidDel="00000000" w:rsidR="00000000" w:rsidRPr="00000000">
              <w:rPr>
                <w:rFonts w:ascii="Calibri" w:cs="Calibri" w:eastAsia="Calibri" w:hAnsi="Calibri"/>
                <w:rtl w:val="0"/>
              </w:rPr>
              <w:t xml:space="preserve">   la legge 108/2021 di conversione del Decreto Legge n° 77 del 31 maggio 2021 cosiddetto decreto semplificazioni Bis</w:t>
            </w:r>
          </w:p>
        </w:tc>
      </w:tr>
      <w:tr>
        <w:trPr>
          <w:cantSplit w:val="0"/>
          <w:tblHeader w:val="0"/>
        </w:trPr>
        <w:tc>
          <w:tcPr/>
          <w:p w:rsidR="00000000" w:rsidDel="00000000" w:rsidP="00000000" w:rsidRDefault="00000000" w:rsidRPr="00000000" w14:paraId="000000A7">
            <w:pPr>
              <w:ind w:left="-141" w:firstLine="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w:t>
            </w:r>
          </w:p>
        </w:tc>
        <w:tc>
          <w:tcPr/>
          <w:p w:rsidR="00000000" w:rsidDel="00000000" w:rsidP="00000000" w:rsidRDefault="00000000" w:rsidRPr="00000000" w14:paraId="000000A8">
            <w:pPr>
              <w:jc w:val="both"/>
              <w:rPr>
                <w:rFonts w:ascii="Calibri" w:cs="Calibri" w:eastAsia="Calibri" w:hAnsi="Calibri"/>
              </w:rPr>
            </w:pPr>
            <w:r w:rsidDel="00000000" w:rsidR="00000000" w:rsidRPr="00000000">
              <w:rPr>
                <w:rFonts w:ascii="Calibri" w:cs="Calibri" w:eastAsia="Calibri" w:hAnsi="Calibri"/>
                <w:rtl w:val="0"/>
              </w:rPr>
              <w:t xml:space="preserve">l’art. 55 del DL 77/2021 che prevede che i Dirigenti Scolastici, con riferimento all’attuazione degli interventi ricompresi nel PNRR, procedono agli affidamenti nel rispetto delle soglie di cui al DL 76/2020, come modificato dal presente decreto, anche in deroga a quanto previsto dall’articolo 45 c. 2 lettera a del DI 129/2018</w:t>
            </w:r>
          </w:p>
        </w:tc>
      </w:tr>
      <w:tr>
        <w:trPr>
          <w:cantSplit w:val="0"/>
          <w:tblHeader w:val="0"/>
        </w:trPr>
        <w:tc>
          <w:tcPr/>
          <w:p w:rsidR="00000000" w:rsidDel="00000000" w:rsidP="00000000" w:rsidRDefault="00000000" w:rsidRPr="00000000" w14:paraId="000000A9">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p w:rsidR="00000000" w:rsidDel="00000000" w:rsidP="00000000" w:rsidRDefault="00000000" w:rsidRPr="00000000" w14:paraId="000000AA">
            <w:pPr>
              <w:jc w:val="center"/>
              <w:rPr>
                <w:rFonts w:ascii="Calibri" w:cs="Calibri" w:eastAsia="Calibri" w:hAnsi="Calibri"/>
                <w:b w:val="1"/>
                <w:i w:val="1"/>
              </w:rPr>
            </w:pPr>
            <w:r w:rsidDel="00000000" w:rsidR="00000000" w:rsidRPr="00000000">
              <w:rPr>
                <w:rtl w:val="0"/>
              </w:rPr>
            </w:r>
          </w:p>
        </w:tc>
        <w:tc>
          <w:tcPr/>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rtl w:val="0"/>
              </w:rPr>
              <w:t xml:space="preserve">di poter procedere tramite trattativa diretta con</w:t>
            </w:r>
            <w:r w:rsidDel="00000000" w:rsidR="00000000" w:rsidRPr="00000000">
              <w:rPr>
                <w:rFonts w:ascii="Calibri" w:cs="Calibri" w:eastAsia="Calibri" w:hAnsi="Calibri"/>
                <w:color w:val="ff0000"/>
                <w:rtl w:val="0"/>
              </w:rPr>
              <w:t xml:space="preserve"> unico operatore- </w:t>
            </w:r>
            <w:r w:rsidDel="00000000" w:rsidR="00000000" w:rsidRPr="00000000">
              <w:rPr>
                <w:rFonts w:ascii="Calibri" w:cs="Calibri" w:eastAsia="Calibri" w:hAnsi="Calibri"/>
                <w:color w:val="ff0000"/>
                <w:highlight w:val="yellow"/>
                <w:rtl w:val="0"/>
              </w:rPr>
              <w:t xml:space="preserve">oppure</w:t>
            </w:r>
            <w:r w:rsidDel="00000000" w:rsidR="00000000" w:rsidRPr="00000000">
              <w:rPr>
                <w:rFonts w:ascii="Calibri" w:cs="Calibri" w:eastAsia="Calibri" w:hAnsi="Calibri"/>
                <w:color w:val="ff0000"/>
                <w:rtl w:val="0"/>
              </w:rPr>
              <w:t xml:space="preserve"> -  con confronto di  preventivi</w:t>
            </w:r>
            <w:r w:rsidDel="00000000" w:rsidR="00000000" w:rsidRPr="00000000">
              <w:rPr>
                <w:rFonts w:ascii="Calibri" w:cs="Calibri" w:eastAsia="Calibri" w:hAnsi="Calibri"/>
                <w:rtl w:val="0"/>
              </w:rPr>
              <w:t xml:space="preserve"> su MEPA </w:t>
            </w:r>
          </w:p>
        </w:tc>
      </w:tr>
      <w:tr>
        <w:trPr>
          <w:cantSplit w:val="0"/>
          <w:tblHeader w:val="0"/>
        </w:trPr>
        <w:tc>
          <w:tcPr/>
          <w:p w:rsidR="00000000" w:rsidDel="00000000" w:rsidP="00000000" w:rsidRDefault="00000000" w:rsidRPr="00000000" w14:paraId="000000AC">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Considerata</w:t>
            </w:r>
          </w:p>
        </w:tc>
        <w:tc>
          <w:tcPr/>
          <w:p w:rsidR="00000000" w:rsidDel="00000000" w:rsidP="00000000" w:rsidRDefault="00000000" w:rsidRPr="00000000" w14:paraId="000000AD">
            <w:pPr>
              <w:spacing w:after="120" w:lineRule="auto"/>
              <w:ind w:hanging="141"/>
              <w:jc w:val="both"/>
              <w:rPr>
                <w:rFonts w:ascii="Calibri" w:cs="Calibri" w:eastAsia="Calibri" w:hAnsi="Calibri"/>
              </w:rPr>
            </w:pPr>
            <w:r w:rsidDel="00000000" w:rsidR="00000000" w:rsidRPr="00000000">
              <w:rPr>
                <w:rFonts w:ascii="Calibri" w:cs="Calibri" w:eastAsia="Calibri" w:hAnsi="Calibri"/>
                <w:rtl w:val="0"/>
              </w:rPr>
              <w:t xml:space="preserve">   l'indagine informale di mercato, svolta attraverso comparazione siti WEB, consultazione listini, consultazione albi fornitori, richiesta informale di preventivi ad operatori economici che propongono i beni oggetto della presente procedura </w:t>
            </w:r>
            <w:r w:rsidDel="00000000" w:rsidR="00000000" w:rsidRPr="00000000">
              <w:rPr>
                <w:rFonts w:ascii="Calibri" w:cs="Calibri" w:eastAsia="Calibri" w:hAnsi="Calibri"/>
                <w:color w:val="ff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A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che gli operatori economici oggetto della trattativa sono attivi nell’area merceologica di riferimento degli articoli oggetto della presente procedura di acquisizione</w:t>
            </w:r>
          </w:p>
        </w:tc>
      </w:tr>
      <w:tr>
        <w:trPr>
          <w:cantSplit w:val="0"/>
          <w:tblHeader w:val="0"/>
        </w:trPr>
        <w:tc>
          <w:tcPr/>
          <w:p w:rsidR="00000000" w:rsidDel="00000000" w:rsidP="00000000" w:rsidRDefault="00000000" w:rsidRPr="00000000" w14:paraId="000000B0">
            <w:pPr>
              <w:ind w:right="-187"/>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Visto </w:t>
            </w:r>
          </w:p>
        </w:tc>
        <w:tc>
          <w:tcPr/>
          <w:p w:rsidR="00000000" w:rsidDel="00000000" w:rsidP="00000000" w:rsidRDefault="00000000" w:rsidRPr="00000000" w14:paraId="000000B1">
            <w:pPr>
              <w:ind w:firstLine="0"/>
              <w:jc w:val="both"/>
              <w:rPr>
                <w:rFonts w:ascii="Calibri" w:cs="Calibri" w:eastAsia="Calibri" w:hAnsi="Calibri"/>
              </w:rPr>
            </w:pPr>
            <w:r w:rsidDel="00000000" w:rsidR="00000000" w:rsidRPr="00000000">
              <w:rPr>
                <w:rFonts w:ascii="Calibri" w:cs="Calibri" w:eastAsia="Calibri" w:hAnsi="Calibri"/>
                <w:rtl w:val="0"/>
              </w:rPr>
              <w:t xml:space="preserve">il capitolato tecnico, presentato </w:t>
            </w:r>
            <w:r w:rsidDel="00000000" w:rsidR="00000000" w:rsidRPr="00000000">
              <w:rPr>
                <w:rFonts w:ascii="Calibri" w:cs="Calibri" w:eastAsia="Calibri" w:hAnsi="Calibri"/>
                <w:color w:val="ff0000"/>
                <w:highlight w:val="yellow"/>
                <w:rtl w:val="0"/>
              </w:rPr>
              <w:t xml:space="preserve">dal/dai progettisti/redatto dal Dirigente  </w:t>
            </w:r>
            <w:r w:rsidDel="00000000" w:rsidR="00000000" w:rsidRPr="00000000">
              <w:rPr>
                <w:rFonts w:ascii="Calibri" w:cs="Calibri" w:eastAsia="Calibri" w:hAnsi="Calibri"/>
                <w:rtl w:val="0"/>
              </w:rPr>
              <w:t xml:space="preserve">relativamente alle caratteristiche  tecniche degli articoli da destinare alla realizzazione degli ambienti digitali di cui all’azione </w:t>
            </w: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rtl w:val="0"/>
              </w:rPr>
              <w:t xml:space="preserve"> della Scuola 4.0 del progetto PNRR secondo il target previsto dall’accordo di concessione</w:t>
            </w:r>
          </w:p>
        </w:tc>
      </w:tr>
      <w:tr>
        <w:trPr>
          <w:cantSplit w:val="0"/>
          <w:tblHeader w:val="0"/>
        </w:trPr>
        <w:tc>
          <w:tcPr/>
          <w:p w:rsidR="00000000" w:rsidDel="00000000" w:rsidP="00000000" w:rsidRDefault="00000000" w:rsidRPr="00000000" w14:paraId="000000B2">
            <w:pPr>
              <w:ind w:right="-187"/>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Evidenziato che</w:t>
            </w:r>
          </w:p>
        </w:tc>
        <w:tc>
          <w:tcPr/>
          <w:p w:rsidR="00000000" w:rsidDel="00000000" w:rsidP="00000000" w:rsidRDefault="00000000" w:rsidRPr="00000000" w14:paraId="000000B3">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ai sensi dell’art. 49 del cdc, nel rispetto del principio di rotazione, l’affidamento in esame riguarda </w:t>
            </w:r>
          </w:p>
          <w:p w:rsidR="00000000" w:rsidDel="00000000" w:rsidP="00000000" w:rsidRDefault="00000000" w:rsidRPr="00000000" w14:paraId="000000B4">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un operatore economico non beneficiario di due consecutivi affidamenti aventi ad oggetto una </w:t>
            </w:r>
          </w:p>
          <w:p w:rsidR="00000000" w:rsidDel="00000000" w:rsidP="00000000" w:rsidRDefault="00000000" w:rsidRPr="00000000" w14:paraId="000000B5">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commessa rientrante nello stesso settore merceologico,</w:t>
            </w:r>
          </w:p>
        </w:tc>
      </w:tr>
      <w:tr>
        <w:trPr>
          <w:cantSplit w:val="0"/>
          <w:tblHeader w:val="0"/>
        </w:trPr>
        <w:tc>
          <w:tcPr/>
          <w:p w:rsidR="00000000" w:rsidDel="00000000" w:rsidP="00000000" w:rsidRDefault="00000000" w:rsidRPr="00000000" w14:paraId="000000B6">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Tenuto conto</w:t>
            </w:r>
          </w:p>
        </w:tc>
        <w:tc>
          <w:tcPr/>
          <w:p w:rsidR="00000000" w:rsidDel="00000000" w:rsidP="00000000" w:rsidRDefault="00000000" w:rsidRPr="00000000" w14:paraId="000000B7">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il carattere di urgenza per l’affidamento della fornitura entro i termini stabiliti nell’accordo </w:t>
            </w:r>
          </w:p>
          <w:p w:rsidR="00000000" w:rsidDel="00000000" w:rsidP="00000000" w:rsidRDefault="00000000" w:rsidRPr="00000000" w14:paraId="000000B8">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di concessione fissato nel 30/06/2023  prorogato al 30/9/2023 dal Ministero con nota prot. 86810 </w:t>
            </w:r>
          </w:p>
          <w:p w:rsidR="00000000" w:rsidDel="00000000" w:rsidP="00000000" w:rsidRDefault="00000000" w:rsidRPr="00000000" w14:paraId="000000B9">
            <w:pPr>
              <w:ind w:left="709" w:hanging="709"/>
              <w:jc w:val="both"/>
              <w:rPr>
                <w:rFonts w:ascii="Calibri" w:cs="Calibri" w:eastAsia="Calibri" w:hAnsi="Calibri"/>
                <w:highlight w:val="yellow"/>
              </w:rPr>
            </w:pPr>
            <w:r w:rsidDel="00000000" w:rsidR="00000000" w:rsidRPr="00000000">
              <w:rPr>
                <w:rFonts w:ascii="Calibri" w:cs="Calibri" w:eastAsia="Calibri" w:hAnsi="Calibri"/>
                <w:rtl w:val="0"/>
              </w:rPr>
              <w:t xml:space="preserve">del 19/6/2023</w:t>
            </w:r>
            <w:r w:rsidDel="00000000" w:rsidR="00000000" w:rsidRPr="00000000">
              <w:rPr>
                <w:rtl w:val="0"/>
              </w:rPr>
            </w:r>
          </w:p>
        </w:tc>
      </w:tr>
      <w:tr>
        <w:trPr>
          <w:cantSplit w:val="0"/>
          <w:tblHeader w:val="0"/>
        </w:trPr>
        <w:tc>
          <w:tcPr/>
          <w:p w:rsidR="00000000" w:rsidDel="00000000" w:rsidP="00000000" w:rsidRDefault="00000000" w:rsidRPr="00000000" w14:paraId="000000B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Considerato</w:t>
            </w:r>
          </w:p>
        </w:tc>
        <w:tc>
          <w:tcPr/>
          <w:p w:rsidR="00000000" w:rsidDel="00000000" w:rsidP="00000000" w:rsidRDefault="00000000" w:rsidRPr="00000000" w14:paraId="000000BB">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Che l’art. 5 comma 5 del DL 13 del 24/2/2023 convertito in Legge 41 il 21/4/2023 che </w:t>
            </w:r>
          </w:p>
          <w:p w:rsidR="00000000" w:rsidDel="00000000" w:rsidP="00000000" w:rsidRDefault="00000000" w:rsidRPr="00000000" w14:paraId="000000BC">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prevede che per tutte le procedure a valere sui fondi P.N.R.R. sia sempre richiesto il CIG </w:t>
            </w:r>
          </w:p>
          <w:p w:rsidR="00000000" w:rsidDel="00000000" w:rsidP="00000000" w:rsidRDefault="00000000" w:rsidRPr="00000000" w14:paraId="000000BD">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Simog oltre i 5.000 euro </w:t>
            </w:r>
          </w:p>
        </w:tc>
      </w:tr>
      <w:tr>
        <w:trPr>
          <w:cantSplit w:val="0"/>
          <w:tblHeader w:val="0"/>
        </w:trPr>
        <w:tc>
          <w:tcPr/>
          <w:p w:rsidR="00000000" w:rsidDel="00000000" w:rsidP="00000000" w:rsidRDefault="00000000" w:rsidRPr="00000000" w14:paraId="000000BE">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Preso atto</w:t>
            </w:r>
          </w:p>
        </w:tc>
        <w:tc>
          <w:tcPr/>
          <w:p w:rsidR="00000000" w:rsidDel="00000000" w:rsidP="00000000" w:rsidRDefault="00000000" w:rsidRPr="00000000" w14:paraId="000000BF">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di quanto stabilito dall’art. 24 del D.Lgs 36/2023 relativo all’utilizzo della procedura </w:t>
            </w:r>
          </w:p>
          <w:p w:rsidR="00000000" w:rsidDel="00000000" w:rsidP="00000000" w:rsidRDefault="00000000" w:rsidRPr="00000000" w14:paraId="000000C0">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F.V.O.E. di ANAC da utilizzare per la verifica dell'assenza delle cause di esclusione di cui </w:t>
            </w:r>
          </w:p>
          <w:p w:rsidR="00000000" w:rsidDel="00000000" w:rsidP="00000000" w:rsidRDefault="00000000" w:rsidRPr="00000000" w14:paraId="000000C1">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agli articoli 94 e 95 degli operatori economici in relazione agli affidamenti pari o superiori </w:t>
            </w:r>
          </w:p>
          <w:p w:rsidR="00000000" w:rsidDel="00000000" w:rsidP="00000000" w:rsidRDefault="00000000" w:rsidRPr="00000000" w14:paraId="000000C2">
            <w:pPr>
              <w:ind w:left="709" w:hanging="709"/>
              <w:jc w:val="both"/>
              <w:rPr>
                <w:rFonts w:ascii="Calibri" w:cs="Calibri" w:eastAsia="Calibri" w:hAnsi="Calibri"/>
              </w:rPr>
            </w:pPr>
            <w:r w:rsidDel="00000000" w:rsidR="00000000" w:rsidRPr="00000000">
              <w:rPr>
                <w:rFonts w:ascii="Calibri" w:cs="Calibri" w:eastAsia="Calibri" w:hAnsi="Calibri"/>
                <w:rtl w:val="0"/>
              </w:rPr>
              <w:t xml:space="preserve">a € 40.000,00</w:t>
            </w:r>
          </w:p>
        </w:tc>
      </w:tr>
    </w:tbl>
    <w:p w:rsidR="00000000" w:rsidDel="00000000" w:rsidP="00000000" w:rsidRDefault="00000000" w:rsidRPr="00000000" w14:paraId="000000C3">
      <w:pPr>
        <w:tabs>
          <w:tab w:val="left" w:leader="none" w:pos="284"/>
        </w:tabs>
        <w:spacing w:after="0" w:line="240" w:lineRule="auto"/>
        <w:jc w:val="both"/>
        <w:rPr>
          <w:b w:val="1"/>
        </w:rPr>
      </w:pPr>
      <w:r w:rsidDel="00000000" w:rsidR="00000000" w:rsidRPr="00000000">
        <w:rPr>
          <w:rtl w:val="0"/>
        </w:rPr>
      </w:r>
    </w:p>
    <w:p w:rsidR="00000000" w:rsidDel="00000000" w:rsidP="00000000" w:rsidRDefault="00000000" w:rsidRPr="00000000" w14:paraId="000000C4">
      <w:pPr>
        <w:tabs>
          <w:tab w:val="left" w:leader="none" w:pos="284"/>
        </w:tabs>
        <w:spacing w:after="0" w:line="240" w:lineRule="auto"/>
        <w:jc w:val="both"/>
        <w:rPr>
          <w:b w:val="1"/>
        </w:rPr>
      </w:pPr>
      <w:r w:rsidDel="00000000" w:rsidR="00000000" w:rsidRPr="00000000">
        <w:rPr>
          <w:b w:val="1"/>
          <w:rtl w:val="0"/>
        </w:rPr>
        <w:t xml:space="preserve">tutto ciò premesso e considerato, visti gli artt. 17 e 50 del D. lgs. n. 36/2023</w:t>
      </w:r>
    </w:p>
    <w:p w:rsidR="00000000" w:rsidDel="00000000" w:rsidP="00000000" w:rsidRDefault="00000000" w:rsidRPr="00000000" w14:paraId="000000C5">
      <w:pPr>
        <w:spacing w:after="120" w:before="120" w:line="276" w:lineRule="auto"/>
        <w:jc w:val="center"/>
        <w:rPr>
          <w:b w:val="1"/>
        </w:rPr>
      </w:pPr>
      <w:r w:rsidDel="00000000" w:rsidR="00000000" w:rsidRPr="00000000">
        <w:rPr>
          <w:b w:val="1"/>
          <w:rtl w:val="0"/>
        </w:rPr>
        <w:t xml:space="preserve">DECIDE</w:t>
      </w:r>
    </w:p>
    <w:p w:rsidR="00000000" w:rsidDel="00000000" w:rsidP="00000000" w:rsidRDefault="00000000" w:rsidRPr="00000000" w14:paraId="000000C6">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bookmarkStart w:colFirst="0" w:colLast="0" w:name="_heading=h.1fob9te" w:id="2"/>
      <w:bookmarkEnd w:id="2"/>
      <w:r w:rsidDel="00000000" w:rsidR="00000000" w:rsidRPr="00000000">
        <w:rPr>
          <w:color w:val="000000"/>
          <w:rtl w:val="0"/>
        </w:rPr>
        <w:t xml:space="preserve">Di avviare il procedimento di affidamento </w:t>
      </w:r>
      <w:r w:rsidDel="00000000" w:rsidR="00000000" w:rsidRPr="00000000">
        <w:rPr>
          <w:rtl w:val="0"/>
        </w:rPr>
        <w:t xml:space="preserve">diretto tramite trattativa diretta Mepa</w:t>
      </w:r>
      <w:r w:rsidDel="00000000" w:rsidR="00000000" w:rsidRPr="00000000">
        <w:rPr>
          <w:color w:val="000000"/>
          <w:rtl w:val="0"/>
        </w:rPr>
        <w:t xml:space="preserve"> </w:t>
      </w:r>
      <w:r w:rsidDel="00000000" w:rsidR="00000000" w:rsidRPr="00000000">
        <w:rPr>
          <w:color w:val="ff0000"/>
          <w:rtl w:val="0"/>
        </w:rPr>
        <w:t xml:space="preserve">con unico operatore  - </w:t>
      </w:r>
      <w:r w:rsidDel="00000000" w:rsidR="00000000" w:rsidRPr="00000000">
        <w:rPr>
          <w:color w:val="ff0000"/>
          <w:highlight w:val="yellow"/>
          <w:rtl w:val="0"/>
        </w:rPr>
        <w:t xml:space="preserve">oppure</w:t>
      </w:r>
      <w:r w:rsidDel="00000000" w:rsidR="00000000" w:rsidRPr="00000000">
        <w:rPr>
          <w:color w:val="ff0000"/>
          <w:rtl w:val="0"/>
        </w:rPr>
        <w:t xml:space="preserve"> - con confronto di preventivi rivolta agli operatori economici</w:t>
      </w:r>
      <w:r w:rsidDel="00000000" w:rsidR="00000000" w:rsidRPr="00000000">
        <w:rPr>
          <w:color w:val="000000"/>
          <w:rtl w:val="0"/>
        </w:rPr>
        <w:t xml:space="preserve"> presenti sulla piattaforma censiti per le categorie merceologiche degli articoli presenti nel capitolato tecnico, ai sensi </w:t>
      </w:r>
      <w:r w:rsidDel="00000000" w:rsidR="00000000" w:rsidRPr="00000000">
        <w:rPr>
          <w:b w:val="1"/>
          <w:color w:val="000000"/>
          <w:rtl w:val="0"/>
        </w:rPr>
        <w:t xml:space="preserve">dell’</w:t>
      </w:r>
      <w:r w:rsidDel="00000000" w:rsidR="00000000" w:rsidRPr="00000000">
        <w:rPr>
          <w:b w:val="1"/>
          <w:i w:val="1"/>
          <w:color w:val="000000"/>
          <w:rtl w:val="0"/>
        </w:rPr>
        <w:t xml:space="preserve">ex</w:t>
      </w:r>
      <w:r w:rsidDel="00000000" w:rsidR="00000000" w:rsidRPr="00000000">
        <w:rPr>
          <w:b w:val="1"/>
          <w:color w:val="000000"/>
          <w:rtl w:val="0"/>
        </w:rPr>
        <w:t xml:space="preserve"> art. 50, co. 1, lett. b), del d.lgs. n. 36/2023</w:t>
      </w:r>
      <w:r w:rsidDel="00000000" w:rsidR="00000000" w:rsidRPr="00000000">
        <w:rPr>
          <w:color w:val="000000"/>
          <w:rtl w:val="0"/>
        </w:rPr>
        <w:t xml:space="preserve">, </w:t>
      </w:r>
    </w:p>
    <w:p w:rsidR="00000000" w:rsidDel="00000000" w:rsidP="00000000" w:rsidRDefault="00000000" w:rsidRPr="00000000" w14:paraId="000000C7">
      <w:pPr>
        <w:numPr>
          <w:ilvl w:val="0"/>
          <w:numId w:val="3"/>
        </w:numPr>
        <w:spacing w:after="0" w:line="276" w:lineRule="auto"/>
        <w:ind w:left="720" w:hanging="360"/>
        <w:jc w:val="both"/>
        <w:rPr/>
      </w:pPr>
      <w:r w:rsidDel="00000000" w:rsidR="00000000" w:rsidRPr="00000000">
        <w:rPr>
          <w:rtl w:val="0"/>
        </w:rPr>
        <w:t xml:space="preserve">che la procedura avrà come oggetto la fornitura dei beni di cui al capitolato presentato dal progettista/dai progettisti rientranti nella categoria merceologica </w:t>
      </w:r>
      <w:r w:rsidDel="00000000" w:rsidR="00000000" w:rsidRPr="00000000">
        <w:rPr>
          <w:highlight w:val="yellow"/>
          <w:rtl w:val="0"/>
        </w:rPr>
        <w:t xml:space="preserve">dotazioni digitali/arredi</w:t>
      </w:r>
      <w:r w:rsidDel="00000000" w:rsidR="00000000" w:rsidRPr="00000000">
        <w:rPr>
          <w:rtl w:val="0"/>
        </w:rPr>
      </w:r>
    </w:p>
    <w:p w:rsidR="00000000" w:rsidDel="00000000" w:rsidP="00000000" w:rsidRDefault="00000000" w:rsidRPr="00000000" w14:paraId="000000C8">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inserire come importo massimo per l’aggiudicazione € </w:t>
      </w:r>
      <w:r w:rsidDel="00000000" w:rsidR="00000000" w:rsidRPr="00000000">
        <w:rPr>
          <w:color w:val="000000"/>
          <w:highlight w:val="yellow"/>
          <w:rtl w:val="0"/>
        </w:rPr>
        <w:t xml:space="preserve">………….</w:t>
      </w:r>
      <w:r w:rsidDel="00000000" w:rsidR="00000000" w:rsidRPr="00000000">
        <w:rPr>
          <w:color w:val="000000"/>
          <w:rtl w:val="0"/>
        </w:rPr>
        <w:t xml:space="preserve"> + iva  per l’acquisto degli articoli  indicati nel capitolato tecnico</w:t>
      </w:r>
    </w:p>
    <w:p w:rsidR="00000000" w:rsidDel="00000000" w:rsidP="00000000" w:rsidRDefault="00000000" w:rsidRPr="00000000" w14:paraId="000000C9">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garantire lo stanziamento necessario alla copertura della relativa spesa a carico dell’aggregato di spesa </w:t>
      </w:r>
      <w:r w:rsidDel="00000000" w:rsidR="00000000" w:rsidRPr="00000000">
        <w:rPr>
          <w:b w:val="1"/>
          <w:color w:val="000000"/>
          <w:highlight w:val="yellow"/>
          <w:rtl w:val="0"/>
        </w:rPr>
        <w:t xml:space="preserve">A03….:</w:t>
      </w:r>
      <w:r w:rsidDel="00000000" w:rsidR="00000000" w:rsidRPr="00000000">
        <w:rPr>
          <w:b w:val="1"/>
          <w:color w:val="000000"/>
          <w:rtl w:val="0"/>
        </w:rPr>
        <w:t xml:space="preserve"> </w:t>
      </w:r>
      <w:r w:rsidDel="00000000" w:rsidR="00000000" w:rsidRPr="00000000">
        <w:rPr>
          <w:color w:val="000000"/>
          <w:rtl w:val="0"/>
        </w:rPr>
        <w:t xml:space="preserve">PNRR Piano “Scuola 4.0” – Azione </w:t>
      </w:r>
      <w:r w:rsidDel="00000000" w:rsidR="00000000" w:rsidRPr="00000000">
        <w:rPr>
          <w:rtl w:val="0"/>
        </w:rPr>
        <w:t xml:space="preserve">2</w:t>
      </w:r>
      <w:r w:rsidDel="00000000" w:rsidR="00000000" w:rsidRPr="00000000">
        <w:rPr>
          <w:color w:val="000000"/>
          <w:rtl w:val="0"/>
        </w:rPr>
        <w:t xml:space="preserve"> Next Generation </w:t>
      </w:r>
      <w:r w:rsidDel="00000000" w:rsidR="00000000" w:rsidRPr="00000000">
        <w:rPr>
          <w:rtl w:val="0"/>
        </w:rPr>
        <w:t xml:space="preserve">Lab</w:t>
      </w:r>
      <w:r w:rsidDel="00000000" w:rsidR="00000000" w:rsidRPr="00000000">
        <w:rPr>
          <w:color w:val="000000"/>
          <w:rtl w:val="0"/>
        </w:rPr>
        <w:t xml:space="preserve">s– D.M. n. 218/2022 – Codice identificativo del progetto: </w:t>
      </w:r>
      <w:r w:rsidDel="00000000" w:rsidR="00000000" w:rsidRPr="00000000">
        <w:rPr>
          <w:b w:val="1"/>
          <w:color w:val="000000"/>
          <w:rtl w:val="0"/>
        </w:rPr>
        <w:t xml:space="preserve">M4C1I3.2-2022-961-</w:t>
      </w:r>
      <w:r w:rsidDel="00000000" w:rsidR="00000000" w:rsidRPr="00000000">
        <w:rPr>
          <w:b w:val="1"/>
          <w:color w:val="000000"/>
          <w:highlight w:val="yellow"/>
          <w:rtl w:val="0"/>
        </w:rPr>
        <w:t xml:space="preserve">P-………   </w:t>
      </w:r>
      <w:r w:rsidDel="00000000" w:rsidR="00000000" w:rsidRPr="00000000">
        <w:rPr>
          <w:color w:val="000000"/>
          <w:highlight w:val="yellow"/>
          <w:rtl w:val="0"/>
        </w:rPr>
        <w:t xml:space="preserve">CUP: </w:t>
      </w:r>
      <w:r w:rsidDel="00000000" w:rsidR="00000000" w:rsidRPr="00000000">
        <w:rPr>
          <w:b w:val="1"/>
          <w:color w:val="000000"/>
          <w:highlight w:val="yellow"/>
          <w:rtl w:val="0"/>
        </w:rPr>
        <w:t xml:space="preserve">………</w:t>
      </w:r>
      <w:r w:rsidDel="00000000" w:rsidR="00000000" w:rsidRPr="00000000">
        <w:rPr>
          <w:b w:val="1"/>
          <w:color w:val="000000"/>
          <w:rtl w:val="0"/>
        </w:rPr>
        <w:t xml:space="preserve"> alla voce ……….. </w:t>
      </w:r>
      <w:r w:rsidDel="00000000" w:rsidR="00000000" w:rsidRPr="00000000">
        <w:rPr>
          <w:color w:val="000000"/>
          <w:rtl w:val="0"/>
        </w:rPr>
        <w:t xml:space="preserve">del Programma annuale </w:t>
      </w:r>
      <w:r w:rsidDel="00000000" w:rsidR="00000000" w:rsidRPr="00000000">
        <w:rPr>
          <w:b w:val="1"/>
          <w:color w:val="000000"/>
          <w:rtl w:val="0"/>
        </w:rPr>
        <w:t xml:space="preserve">2023 per complessivi Euro …………….;</w:t>
      </w:r>
      <w:r w:rsidDel="00000000" w:rsidR="00000000" w:rsidRPr="00000000">
        <w:rPr>
          <w:rtl w:val="0"/>
        </w:rPr>
      </w:r>
    </w:p>
    <w:p w:rsidR="00000000" w:rsidDel="00000000" w:rsidP="00000000" w:rsidRDefault="00000000" w:rsidRPr="00000000" w14:paraId="000000CA">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color w:val="000000"/>
          <w:rtl w:val="0"/>
        </w:rPr>
        <w:t xml:space="preserve">Di indicare come termine massimo della consegna dei beni il </w:t>
      </w:r>
      <w:r w:rsidDel="00000000" w:rsidR="00000000" w:rsidRPr="00000000">
        <w:rPr>
          <w:highlight w:val="yellow"/>
          <w:rtl w:val="0"/>
        </w:rPr>
        <w:t xml:space="preserve">xx</w:t>
      </w:r>
      <w:r w:rsidDel="00000000" w:rsidR="00000000" w:rsidRPr="00000000">
        <w:rPr>
          <w:color w:val="000000"/>
          <w:highlight w:val="yellow"/>
          <w:rtl w:val="0"/>
        </w:rPr>
        <w:t xml:space="preserve">//xx202…</w:t>
      </w:r>
      <w:r w:rsidDel="00000000" w:rsidR="00000000" w:rsidRPr="00000000">
        <w:rPr>
          <w:color w:val="000000"/>
          <w:rtl w:val="0"/>
        </w:rPr>
        <w:t xml:space="preserve"> e di collaudo degli stessi entro </w:t>
      </w:r>
      <w:r w:rsidDel="00000000" w:rsidR="00000000" w:rsidRPr="00000000">
        <w:rPr>
          <w:color w:val="000000"/>
          <w:highlight w:val="yellow"/>
          <w:rtl w:val="0"/>
        </w:rPr>
        <w:t xml:space="preserve">il </w:t>
      </w:r>
      <w:r w:rsidDel="00000000" w:rsidR="00000000" w:rsidRPr="00000000">
        <w:rPr>
          <w:highlight w:val="yellow"/>
          <w:rtl w:val="0"/>
        </w:rPr>
        <w:t xml:space="preserve">xx</w:t>
      </w:r>
      <w:r w:rsidDel="00000000" w:rsidR="00000000" w:rsidRPr="00000000">
        <w:rPr>
          <w:color w:val="000000"/>
          <w:highlight w:val="yellow"/>
          <w:rtl w:val="0"/>
        </w:rPr>
        <w:t xml:space="preserve">/……./202….</w:t>
      </w:r>
      <w:r w:rsidDel="00000000" w:rsidR="00000000" w:rsidRPr="00000000">
        <w:rPr>
          <w:rtl w:val="0"/>
        </w:rPr>
      </w:r>
    </w:p>
    <w:p w:rsidR="00000000" w:rsidDel="00000000" w:rsidP="00000000" w:rsidRDefault="00000000" w:rsidRPr="00000000" w14:paraId="000000CB">
      <w:pPr>
        <w:numPr>
          <w:ilvl w:val="0"/>
          <w:numId w:val="3"/>
        </w:numPr>
        <w:pBdr>
          <w:top w:space="0" w:sz="0" w:val="nil"/>
          <w:left w:space="0" w:sz="0" w:val="nil"/>
          <w:bottom w:space="0" w:sz="0" w:val="nil"/>
          <w:right w:space="0" w:sz="0" w:val="nil"/>
          <w:between w:space="0" w:sz="0" w:val="nil"/>
        </w:pBdr>
        <w:spacing w:after="0" w:line="240" w:lineRule="auto"/>
        <w:ind w:left="720" w:right="117" w:hanging="360"/>
        <w:jc w:val="both"/>
        <w:rPr>
          <w:b w:val="1"/>
        </w:rPr>
      </w:pPr>
      <w:r w:rsidDel="00000000" w:rsidR="00000000" w:rsidRPr="00000000">
        <w:rPr>
          <w:color w:val="000000"/>
          <w:rtl w:val="0"/>
        </w:rPr>
        <w:t xml:space="preserve">Di inserire del disciplinare di gara l’applicazione del quinto d’obbligo </w:t>
      </w:r>
      <w:r w:rsidDel="00000000" w:rsidR="00000000" w:rsidRPr="00000000">
        <w:rPr>
          <w:rtl w:val="0"/>
        </w:rPr>
        <w:t xml:space="preserve">così come previsto dall’art. 120 comma 9 del D.Lgs 36/2023 </w:t>
      </w:r>
      <w:r w:rsidDel="00000000" w:rsidR="00000000" w:rsidRPr="00000000">
        <w:rPr>
          <w:rtl w:val="0"/>
        </w:rPr>
      </w:r>
    </w:p>
    <w:p w:rsidR="00000000" w:rsidDel="00000000" w:rsidP="00000000" w:rsidRDefault="00000000" w:rsidRPr="00000000" w14:paraId="000000CC">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indicare il </w:t>
      </w:r>
      <w:r w:rsidDel="00000000" w:rsidR="00000000" w:rsidRPr="00000000">
        <w:rPr>
          <w:rtl w:val="0"/>
        </w:rPr>
        <w:t xml:space="preserve">CIG/</w:t>
      </w:r>
      <w:r w:rsidDel="00000000" w:rsidR="00000000" w:rsidRPr="00000000">
        <w:rPr>
          <w:color w:val="000000"/>
          <w:rtl w:val="0"/>
        </w:rPr>
        <w:t xml:space="preserve">CIGSIMOG </w:t>
      </w:r>
      <w:r w:rsidDel="00000000" w:rsidR="00000000" w:rsidRPr="00000000">
        <w:rPr>
          <w:b w:val="1"/>
          <w:color w:val="000000"/>
          <w:highlight w:val="yellow"/>
          <w:rtl w:val="0"/>
        </w:rPr>
        <w:t xml:space="preserve">…………</w:t>
      </w:r>
      <w:r w:rsidDel="00000000" w:rsidR="00000000" w:rsidRPr="00000000">
        <w:rPr>
          <w:b w:val="1"/>
          <w:color w:val="000000"/>
          <w:rtl w:val="0"/>
        </w:rPr>
        <w:t xml:space="preserve"> </w:t>
      </w:r>
      <w:r w:rsidDel="00000000" w:rsidR="00000000" w:rsidRPr="00000000">
        <w:rPr>
          <w:color w:val="000000"/>
          <w:rtl w:val="0"/>
        </w:rPr>
        <w:t xml:space="preserve">relativo alla fornitura in oggetto in tutte le fasi relative alla presente procedura d’acquisto;</w:t>
      </w:r>
    </w:p>
    <w:p w:rsidR="00000000" w:rsidDel="00000000" w:rsidP="00000000" w:rsidRDefault="00000000" w:rsidRPr="00000000" w14:paraId="000000CD">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prevedere che in caso di aggiudicazione l’operatore economico si impegni a rispettare le indicazioni previste dall’art. 47 del DL 77/2021 in materia di situazione occupazionale </w:t>
      </w:r>
    </w:p>
    <w:p w:rsidR="00000000" w:rsidDel="00000000" w:rsidP="00000000" w:rsidRDefault="00000000" w:rsidRPr="00000000" w14:paraId="000000CE">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stabilire che l’acquisizione dei beni sia effettuata nel rispetto dei principi ambientali (DNSH e/o CAM) così come previsto dalle norme vigenti, tenuto conto di quanto indicato nella circolare MEF-RGS nr. 33 del 13/10/2022 (</w:t>
      </w:r>
      <w:r w:rsidDel="00000000" w:rsidR="00000000" w:rsidRPr="00000000">
        <w:rPr>
          <w:i w:val="1"/>
          <w:color w:val="000000"/>
          <w:rtl w:val="0"/>
        </w:rPr>
        <w:t xml:space="preserve">check lists nr. 3 e 6</w:t>
      </w:r>
      <w:r w:rsidDel="00000000" w:rsidR="00000000" w:rsidRPr="00000000">
        <w:rPr>
          <w:color w:val="000000"/>
          <w:rtl w:val="0"/>
        </w:rPr>
        <w:t xml:space="preserve">),</w:t>
      </w:r>
    </w:p>
    <w:p w:rsidR="00000000" w:rsidDel="00000000" w:rsidP="00000000" w:rsidRDefault="00000000" w:rsidRPr="00000000" w14:paraId="000000CF">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richiedere nell’ambito del rispetto della normativa antiriciclaggio la verifica del titolare effettivo così come previsto dall’art. 22 del Reg. UE 2021/241 e secondo le indicazioni della circolare MEF-RGS n. 30 del 11/8/2022 </w:t>
      </w:r>
    </w:p>
    <w:p w:rsidR="00000000" w:rsidDel="00000000" w:rsidP="00000000" w:rsidRDefault="00000000" w:rsidRPr="00000000" w14:paraId="000000D0">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w:t>
      </w:r>
      <w:r w:rsidDel="00000000" w:rsidR="00000000" w:rsidRPr="00000000">
        <w:rPr>
          <w:color w:val="000000"/>
          <w:highlight w:val="yellow"/>
          <w:rtl w:val="0"/>
        </w:rPr>
        <w:t xml:space="preserve">non/richiedere</w:t>
      </w:r>
      <w:r w:rsidDel="00000000" w:rsidR="00000000" w:rsidRPr="00000000">
        <w:rPr>
          <w:color w:val="000000"/>
          <w:rtl w:val="0"/>
        </w:rPr>
        <w:t xml:space="preserve"> all’atto della stipula del contratto il rilascio di garanzia definitiva ex art. 53 del D.Lgs. 36/2023 nella misura del 5% dell’affidamento (inserire in caso di non richiesta della garanzia le motivazioni…)</w:t>
      </w:r>
    </w:p>
    <w:p w:rsidR="00000000" w:rsidDel="00000000" w:rsidP="00000000" w:rsidRDefault="00000000" w:rsidRPr="00000000" w14:paraId="000000D1">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che il criterio di scelta delle offerte sarà quello del prezzo più basso ai sensi dell’art. 108 del D.Lgs 36/2023;</w:t>
      </w:r>
    </w:p>
    <w:p w:rsidR="00000000" w:rsidDel="00000000" w:rsidP="00000000" w:rsidRDefault="00000000" w:rsidRPr="00000000" w14:paraId="000000D2">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che l’affidatario dovrà essere in possesso dei requisiti di ordine generale di cui al Capo II del D.Lgs 36/2023, in applicazione della cause di esclusione di cui agli articoli 94, 95, 96, 97 e 98 del Codice dei contratti, il controllo del possesso dei requisiti è disciplinato dall’art. 52 del D.Lgs 36/2023</w:t>
      </w:r>
    </w:p>
    <w:p w:rsidR="00000000" w:rsidDel="00000000" w:rsidP="00000000" w:rsidRDefault="00000000" w:rsidRPr="00000000" w14:paraId="000000D3">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di inserire la clausola di revisione prezzi nelle modalità previste dall’art. 60 del D.Lgs 36/2023 </w:t>
      </w:r>
    </w:p>
    <w:p w:rsidR="00000000" w:rsidDel="00000000" w:rsidP="00000000" w:rsidRDefault="00000000" w:rsidRPr="00000000" w14:paraId="000000D4">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che le condizioni contrattuali della fornitura saranno quelle indicate nel disciplinare di gara allegato alla trattativa diretta</w:t>
      </w:r>
    </w:p>
    <w:p w:rsidR="00000000" w:rsidDel="00000000" w:rsidP="00000000" w:rsidRDefault="00000000" w:rsidRPr="00000000" w14:paraId="000000D5">
      <w:pPr>
        <w:numPr>
          <w:ilvl w:val="0"/>
          <w:numId w:val="2"/>
        </w:numPr>
        <w:spacing w:after="0" w:line="276" w:lineRule="auto"/>
        <w:ind w:left="360" w:hanging="360"/>
        <w:jc w:val="both"/>
        <w:rPr/>
      </w:pPr>
      <w:r w:rsidDel="00000000" w:rsidR="00000000" w:rsidRPr="00000000">
        <w:rPr>
          <w:rtl w:val="0"/>
        </w:rPr>
        <w:t xml:space="preserve">di precisare che: </w:t>
      </w:r>
    </w:p>
    <w:p w:rsidR="00000000" w:rsidDel="00000000" w:rsidP="00000000" w:rsidRDefault="00000000" w:rsidRPr="00000000" w14:paraId="000000D6">
      <w:pPr>
        <w:widowControl w:val="0"/>
        <w:numPr>
          <w:ilvl w:val="0"/>
          <w:numId w:val="4"/>
        </w:numPr>
        <w:pBdr>
          <w:top w:space="0" w:sz="0" w:val="nil"/>
          <w:left w:space="0" w:sz="0" w:val="nil"/>
          <w:bottom w:space="0" w:sz="0" w:val="nil"/>
          <w:right w:space="0" w:sz="0" w:val="nil"/>
          <w:between w:space="0" w:sz="0" w:val="nil"/>
        </w:pBdr>
        <w:tabs>
          <w:tab w:val="left" w:leader="none" w:pos="284"/>
        </w:tabs>
        <w:spacing w:after="0" w:line="240" w:lineRule="auto"/>
        <w:ind w:left="644" w:hanging="360"/>
        <w:jc w:val="both"/>
        <w:rPr>
          <w:color w:val="000000"/>
        </w:rPr>
      </w:pPr>
      <w:r w:rsidDel="00000000" w:rsidR="00000000" w:rsidRPr="00000000">
        <w:rPr>
          <w:color w:val="000000"/>
          <w:rtl w:val="0"/>
        </w:rPr>
        <w:t xml:space="preserve">il RUP, di cui all’art. 15 D.lgs. 36/2023, e all’art.  5 della L. 241/90, è il </w:t>
      </w:r>
      <w:r w:rsidDel="00000000" w:rsidR="00000000" w:rsidRPr="00000000">
        <w:rPr>
          <w:color w:val="000000"/>
          <w:highlight w:val="yellow"/>
          <w:rtl w:val="0"/>
        </w:rPr>
        <w:t xml:space="preserve">D.S. ……………;</w:t>
      </w:r>
      <w:r w:rsidDel="00000000" w:rsidR="00000000" w:rsidRPr="00000000">
        <w:rPr>
          <w:rtl w:val="0"/>
        </w:rPr>
      </w:r>
    </w:p>
    <w:p w:rsidR="00000000" w:rsidDel="00000000" w:rsidP="00000000" w:rsidRDefault="00000000" w:rsidRPr="00000000" w14:paraId="000000D7">
      <w:pPr>
        <w:widowControl w:val="0"/>
        <w:numPr>
          <w:ilvl w:val="0"/>
          <w:numId w:val="4"/>
        </w:numPr>
        <w:pBdr>
          <w:top w:space="0" w:sz="0" w:val="nil"/>
          <w:left w:space="0" w:sz="0" w:val="nil"/>
          <w:bottom w:space="0" w:sz="0" w:val="nil"/>
          <w:right w:space="0" w:sz="0" w:val="nil"/>
          <w:between w:space="0" w:sz="0" w:val="nil"/>
        </w:pBdr>
        <w:tabs>
          <w:tab w:val="left" w:leader="none" w:pos="284"/>
        </w:tabs>
        <w:spacing w:after="0" w:line="240" w:lineRule="auto"/>
        <w:ind w:left="644" w:hanging="360"/>
        <w:jc w:val="both"/>
        <w:rPr>
          <w:color w:val="000000"/>
        </w:rPr>
      </w:pPr>
      <w:r w:rsidDel="00000000" w:rsidR="00000000" w:rsidRPr="00000000">
        <w:rPr>
          <w:color w:val="000000"/>
          <w:rtl w:val="0"/>
        </w:rPr>
        <w:t xml:space="preserve">il Responsabile del Trattamento dei Dati è l’Istituto nelle norme del regolamento Privacy UE 679/2016</w:t>
      </w:r>
    </w:p>
    <w:p w:rsidR="00000000" w:rsidDel="00000000" w:rsidP="00000000" w:rsidRDefault="00000000" w:rsidRPr="00000000" w14:paraId="000000D8">
      <w:pPr>
        <w:widowControl w:val="0"/>
        <w:numPr>
          <w:ilvl w:val="0"/>
          <w:numId w:val="4"/>
        </w:numPr>
        <w:pBdr>
          <w:top w:space="0" w:sz="0" w:val="nil"/>
          <w:left w:space="0" w:sz="0" w:val="nil"/>
          <w:bottom w:space="0" w:sz="0" w:val="nil"/>
          <w:right w:space="0" w:sz="0" w:val="nil"/>
          <w:between w:space="0" w:sz="0" w:val="nil"/>
        </w:pBdr>
        <w:tabs>
          <w:tab w:val="left" w:leader="none" w:pos="284"/>
        </w:tabs>
        <w:spacing w:after="0" w:line="240" w:lineRule="auto"/>
        <w:ind w:left="644" w:hanging="360"/>
        <w:jc w:val="both"/>
        <w:rPr>
          <w:color w:val="000000"/>
        </w:rPr>
      </w:pPr>
      <w:r w:rsidDel="00000000" w:rsidR="00000000" w:rsidRPr="00000000">
        <w:rPr>
          <w:color w:val="000000"/>
          <w:rtl w:val="0"/>
        </w:rPr>
        <w:t xml:space="preserve">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w:t>
      </w:r>
    </w:p>
    <w:p w:rsidR="00000000" w:rsidDel="00000000" w:rsidP="00000000" w:rsidRDefault="00000000" w:rsidRPr="00000000" w14:paraId="000000D9">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jc w:val="both"/>
        <w:rPr>
          <w:color w:val="000000"/>
        </w:rPr>
      </w:pPr>
      <w:r w:rsidDel="00000000" w:rsidR="00000000" w:rsidRPr="00000000">
        <w:rPr>
          <w:color w:val="000000"/>
          <w:rtl w:val="0"/>
        </w:rPr>
        <w:t xml:space="preserve">di pubblicare il presente provvedimento sull’albo on line dell’Istituzione scolastica, nonché nella sezione Amministrazione Trasparente del sito istituzionale, sotto-sezione provvedimenti dirigenti ai sensi della normativa sulla trasparenza sopra richiamata.</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before="120" w:lineRule="auto"/>
        <w:ind w:left="5960" w:firstLine="412.00000000000045"/>
        <w:rPr>
          <w:color w:val="000000"/>
        </w:rPr>
      </w:pPr>
      <w:r w:rsidDel="00000000" w:rsidR="00000000" w:rsidRPr="00000000">
        <w:rPr>
          <w:color w:val="000000"/>
          <w:rtl w:val="0"/>
        </w:rPr>
        <w:t xml:space="preserve">IL DIRIGENTE SCOLASTICO</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ind w:left="5960" w:right="140" w:firstLine="412.00000000000045"/>
        <w:rPr>
          <w:color w:val="000000"/>
        </w:rPr>
      </w:pPr>
      <w:r w:rsidDel="00000000" w:rsidR="00000000" w:rsidRPr="00000000">
        <w:rPr>
          <w:color w:val="000000"/>
          <w:rtl w:val="0"/>
        </w:rPr>
        <w:t xml:space="preserve">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lineRule="auto"/>
        <w:ind w:left="5960" w:right="140" w:firstLine="412.00000000000045"/>
        <w:rPr>
          <w:color w:val="000000"/>
        </w:rPr>
      </w:pPr>
      <w:r w:rsidDel="00000000" w:rsidR="00000000" w:rsidRPr="00000000">
        <w:rPr>
          <w:color w:val="000000"/>
          <w:rtl w:val="0"/>
        </w:rPr>
        <w:t xml:space="preserve"> (</w:t>
      </w:r>
      <w:r w:rsidDel="00000000" w:rsidR="00000000" w:rsidRPr="00000000">
        <w:rPr>
          <w:i w:val="1"/>
          <w:color w:val="000000"/>
          <w:rtl w:val="0"/>
        </w:rPr>
        <w:t xml:space="preserve">firmato digitalmente)</w:t>
      </w:r>
      <w:r w:rsidDel="00000000" w:rsidR="00000000" w:rsidRPr="00000000">
        <w:rPr>
          <w:b w:val="1"/>
          <w:color w:val="000000"/>
          <w:rtl w:val="0"/>
        </w:rPr>
        <w:tab/>
      </w:r>
      <w:r w:rsidDel="00000000" w:rsidR="00000000" w:rsidRPr="00000000">
        <w:rPr>
          <w:rtl w:val="0"/>
        </w:rPr>
      </w:r>
    </w:p>
    <w:tbl>
      <w:tblPr>
        <w:tblStyle w:val="Table2"/>
        <w:tblW w:w="9209.0" w:type="dxa"/>
        <w:jc w:val="left"/>
        <w:tblInd w:w="-2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395"/>
        <w:tblGridChange w:id="0">
          <w:tblGrid>
            <w:gridCol w:w="4814"/>
            <w:gridCol w:w="4395"/>
          </w:tblGrid>
        </w:tblGridChange>
      </w:tblGrid>
      <w:tr>
        <w:trPr>
          <w:cantSplit w:val="0"/>
          <w:trHeight w:val="20" w:hRule="atLeast"/>
          <w:tblHeader w:val="0"/>
        </w:trPr>
        <w:tc>
          <w:tcPr/>
          <w:p w:rsidR="00000000" w:rsidDel="00000000" w:rsidP="00000000" w:rsidRDefault="00000000" w:rsidRPr="00000000" w14:paraId="000000DD">
            <w:pPr>
              <w:spacing w:after="120" w:before="120" w:lineRule="auto"/>
              <w:ind w:right="140"/>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DE">
            <w:pPr>
              <w:spacing w:after="120" w:before="120" w:lineRule="auto"/>
              <w:ind w:right="140"/>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sectPr>
      <w:headerReference r:id="rId7" w:type="default"/>
      <w:footerReference r:id="rId8" w:type="default"/>
      <w:pgSz w:h="16838" w:w="11906" w:orient="portrait"/>
      <w:pgMar w:bottom="0" w:top="2977" w:left="1134" w:right="1134" w:header="426" w:footer="3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rFonts w:ascii="Times New Roman" w:cs="Times New Roman" w:eastAsia="Times New Roman" w:hAnsi="Times New Roman"/>
        <w:color w:val="000000"/>
      </w:rPr>
    </w:pPr>
    <w:bookmarkStart w:colFirst="0" w:colLast="0" w:name="_heading=h.3znysh7" w:id="3"/>
    <w:bookmarkEnd w:id="3"/>
    <w:r w:rsidDel="00000000" w:rsidR="00000000" w:rsidRPr="00000000">
      <w:rPr>
        <w:rtl w:val="0"/>
      </w:rPr>
    </w:r>
  </w:p>
  <w:p w:rsidR="00000000" w:rsidDel="00000000" w:rsidP="00000000" w:rsidRDefault="00000000" w:rsidRPr="00000000" w14:paraId="000000E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spacing w:after="0" w:line="240" w:lineRule="auto"/>
      <w:jc w:val="center"/>
      <w:rPr>
        <w:rFonts w:ascii="Times New Roman" w:cs="Times New Roman" w:eastAsia="Times New Roman" w:hAnsi="Times New Roman"/>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tabs>
        <w:tab w:val="left" w:leader="none" w:pos="288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119820" cy="10922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0" w:line="276" w:lineRule="auto"/>
      <w:jc w:val="center"/>
      <w:rPr/>
    </w:pPr>
    <w:r w:rsidDel="00000000" w:rsidR="00000000" w:rsidRPr="00000000">
      <w:rPr>
        <w:rtl w:val="0"/>
      </w:rPr>
      <w:t xml:space="preserve">INTESTAZIONE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644" w:hanging="359.9999999999999"/>
      </w:pPr>
      <w:rPr>
        <w:rFonts w:ascii="Courier New" w:cs="Courier New" w:eastAsia="Courier New" w:hAnsi="Courier New"/>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spacing w:after="0" w:line="24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C3351D"/>
  </w:style>
  <w:style w:type="paragraph" w:styleId="Titolo1">
    <w:name w:val="heading 1"/>
    <w:basedOn w:val="Normale"/>
    <w:next w:val="Normale"/>
    <w:link w:val="Titolo1Carattere"/>
    <w:qFormat w:val="1"/>
    <w:rsid w:val="00C3351D"/>
    <w:pPr>
      <w:keepNext w:val="1"/>
      <w:tabs>
        <w:tab w:val="left" w:pos="4395"/>
      </w:tabs>
      <w:overflowPunct w:val="0"/>
      <w:autoSpaceDE w:val="0"/>
      <w:autoSpaceDN w:val="0"/>
      <w:adjustRightInd w:val="0"/>
      <w:spacing w:after="0" w:line="240" w:lineRule="auto"/>
      <w:jc w:val="both"/>
      <w:textAlignment w:val="baseline"/>
      <w:outlineLvl w:val="0"/>
    </w:pPr>
    <w:rPr>
      <w:rFonts w:ascii="Times New Roman" w:cs="Times New Roman" w:eastAsia="Times New Roman" w:hAnsi="Times New Roman"/>
      <w:sz w:val="24"/>
      <w:szCs w:val="20"/>
    </w:rPr>
  </w:style>
  <w:style w:type="paragraph" w:styleId="Titolo2">
    <w:name w:val="heading 2"/>
    <w:basedOn w:val="Normale"/>
    <w:next w:val="Normale"/>
    <w:link w:val="Titolo2Carattere"/>
    <w:uiPriority w:val="9"/>
    <w:semiHidden w:val="1"/>
    <w:unhideWhenUsed w:val="1"/>
    <w:qFormat w:val="1"/>
    <w:rsid w:val="0089086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olo3">
    <w:name w:val="heading 3"/>
    <w:basedOn w:val="Normale"/>
    <w:next w:val="Normale"/>
    <w:link w:val="Titolo3Carattere"/>
    <w:uiPriority w:val="9"/>
    <w:semiHidden w:val="1"/>
    <w:unhideWhenUsed w:val="1"/>
    <w:qFormat w:val="1"/>
    <w:rsid w:val="00942978"/>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olo4">
    <w:name w:val="heading 4"/>
    <w:basedOn w:val="normal"/>
    <w:next w:val="normal"/>
    <w:rsid w:val="004A5A46"/>
    <w:pPr>
      <w:keepNext w:val="1"/>
      <w:keepLines w:val="1"/>
      <w:spacing w:after="40" w:before="240"/>
      <w:outlineLvl w:val="3"/>
    </w:pPr>
    <w:rPr>
      <w:b w:val="1"/>
      <w:sz w:val="24"/>
      <w:szCs w:val="24"/>
    </w:rPr>
  </w:style>
  <w:style w:type="paragraph" w:styleId="Titolo5">
    <w:name w:val="heading 5"/>
    <w:basedOn w:val="Normale"/>
    <w:next w:val="Normale"/>
    <w:link w:val="Titolo5Carattere"/>
    <w:uiPriority w:val="9"/>
    <w:semiHidden w:val="1"/>
    <w:unhideWhenUsed w:val="1"/>
    <w:qFormat w:val="1"/>
    <w:rsid w:val="008D09C2"/>
    <w:pPr>
      <w:keepNext w:val="1"/>
      <w:keepLines w:val="1"/>
      <w:spacing w:after="0" w:before="40"/>
      <w:outlineLvl w:val="4"/>
    </w:pPr>
    <w:rPr>
      <w:rFonts w:asciiTheme="majorHAnsi" w:cstheme="majorBidi" w:eastAsiaTheme="majorEastAsia" w:hAnsiTheme="majorHAnsi"/>
      <w:color w:val="2f5496" w:themeColor="accent1" w:themeShade="0000BF"/>
    </w:rPr>
  </w:style>
  <w:style w:type="paragraph" w:styleId="Titolo6">
    <w:name w:val="heading 6"/>
    <w:basedOn w:val="normal"/>
    <w:next w:val="normal"/>
    <w:rsid w:val="004A5A46"/>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4A5A46"/>
  </w:style>
  <w:style w:type="table" w:styleId="TableNormal" w:customStyle="1">
    <w:name w:val="Table Normal"/>
    <w:rsid w:val="004A5A46"/>
    <w:tblPr>
      <w:tblCellMar>
        <w:top w:w="0.0" w:type="dxa"/>
        <w:left w:w="0.0" w:type="dxa"/>
        <w:bottom w:w="0.0" w:type="dxa"/>
        <w:right w:w="0.0" w:type="dxa"/>
      </w:tblCellMar>
    </w:tblPr>
  </w:style>
  <w:style w:type="paragraph" w:styleId="Titolo">
    <w:name w:val="Title"/>
    <w:basedOn w:val="normal"/>
    <w:next w:val="normal"/>
    <w:rsid w:val="004A5A46"/>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C3351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3351D"/>
  </w:style>
  <w:style w:type="paragraph" w:styleId="Pidipagina">
    <w:name w:val="footer"/>
    <w:basedOn w:val="Normale"/>
    <w:link w:val="PidipaginaCarattere"/>
    <w:uiPriority w:val="99"/>
    <w:unhideWhenUsed w:val="1"/>
    <w:rsid w:val="00C3351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3351D"/>
  </w:style>
  <w:style w:type="character" w:styleId="Titolo1Carattere" w:customStyle="1">
    <w:name w:val="Titolo 1 Carattere"/>
    <w:basedOn w:val="Carpredefinitoparagrafo"/>
    <w:link w:val="Titolo1"/>
    <w:rsid w:val="00C3351D"/>
    <w:rPr>
      <w:rFonts w:ascii="Times New Roman" w:cs="Times New Roman" w:eastAsia="Times New Roman" w:hAnsi="Times New Roman"/>
      <w:sz w:val="24"/>
      <w:szCs w:val="20"/>
      <w:lang w:eastAsia="it-IT"/>
    </w:rPr>
  </w:style>
  <w:style w:type="character" w:styleId="Collegamentoipertestuale">
    <w:name w:val="Hyperlink"/>
    <w:basedOn w:val="Carpredefinitoparagrafo"/>
    <w:uiPriority w:val="99"/>
    <w:unhideWhenUsed w:val="1"/>
    <w:rsid w:val="00C3351D"/>
    <w:rPr>
      <w:color w:val="0563c1" w:themeColor="hyperlink"/>
      <w:u w:val="single"/>
    </w:rPr>
  </w:style>
  <w:style w:type="paragraph" w:styleId="Corpodeltesto">
    <w:name w:val="Body Text"/>
    <w:basedOn w:val="Normale"/>
    <w:link w:val="CorpodeltestoCarattere"/>
    <w:uiPriority w:val="1"/>
    <w:qFormat w:val="1"/>
    <w:rsid w:val="00C3351D"/>
    <w:pPr>
      <w:autoSpaceDE w:val="0"/>
      <w:autoSpaceDN w:val="0"/>
      <w:adjustRightInd w:val="0"/>
      <w:spacing w:after="0" w:line="240" w:lineRule="auto"/>
    </w:pPr>
    <w:rPr>
      <w:rFonts w:ascii="Times New Roman" w:cs="Times New Roman" w:hAnsi="Times New Roman"/>
      <w:sz w:val="23"/>
      <w:szCs w:val="23"/>
    </w:rPr>
  </w:style>
  <w:style w:type="character" w:styleId="CorpodeltestoCarattere" w:customStyle="1">
    <w:name w:val="Corpo del testo Carattere"/>
    <w:basedOn w:val="Carpredefinitoparagrafo"/>
    <w:link w:val="Corpodeltesto"/>
    <w:uiPriority w:val="1"/>
    <w:rsid w:val="00C3351D"/>
    <w:rPr>
      <w:rFonts w:ascii="Times New Roman" w:cs="Times New Roman" w:hAnsi="Times New Roman"/>
      <w:sz w:val="23"/>
      <w:szCs w:val="23"/>
    </w:rPr>
  </w:style>
  <w:style w:type="table" w:styleId="Grigliatabella">
    <w:name w:val="Table Grid"/>
    <w:basedOn w:val="Tabellanormale"/>
    <w:rsid w:val="00AD13D7"/>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D83736"/>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Rimandocommento">
    <w:name w:val="annotation reference"/>
    <w:unhideWhenUsed w:val="1"/>
    <w:rsid w:val="00D83736"/>
    <w:rPr>
      <w:sz w:val="16"/>
      <w:szCs w:val="16"/>
    </w:rPr>
  </w:style>
  <w:style w:type="paragraph" w:styleId="Testocommento">
    <w:name w:val="annotation text"/>
    <w:basedOn w:val="Normale"/>
    <w:link w:val="TestocommentoCarattere"/>
    <w:uiPriority w:val="99"/>
    <w:unhideWhenUsed w:val="1"/>
    <w:rsid w:val="00D83736"/>
    <w:pPr>
      <w:spacing w:after="0" w:line="240" w:lineRule="auto"/>
    </w:pPr>
    <w:rPr>
      <w:rFonts w:ascii="Times New Roman" w:cs="Times New Roman" w:eastAsia="Times New Roman" w:hAnsi="Times New Roman"/>
      <w:sz w:val="20"/>
      <w:szCs w:val="20"/>
    </w:rPr>
  </w:style>
  <w:style w:type="character" w:styleId="TestocommentoCarattere" w:customStyle="1">
    <w:name w:val="Testo commento Carattere"/>
    <w:basedOn w:val="Carpredefinitoparagrafo"/>
    <w:link w:val="Testocommento"/>
    <w:uiPriority w:val="99"/>
    <w:rsid w:val="00D83736"/>
    <w:rPr>
      <w:rFonts w:ascii="Times New Roman" w:cs="Times New Roman" w:eastAsia="Times New Roman" w:hAnsi="Times New Roman"/>
      <w:sz w:val="20"/>
      <w:szCs w:val="20"/>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DA2A59"/>
    <w:pPr>
      <w:ind w:left="720"/>
      <w:contextualSpacing w:val="1"/>
    </w:pPr>
  </w:style>
  <w:style w:type="character" w:styleId="Menzionenonrisolta1" w:customStyle="1">
    <w:name w:val="Menzione non risolta1"/>
    <w:basedOn w:val="Carpredefinitoparagrafo"/>
    <w:uiPriority w:val="99"/>
    <w:semiHidden w:val="1"/>
    <w:unhideWhenUsed w:val="1"/>
    <w:rsid w:val="00DA2A59"/>
    <w:rPr>
      <w:color w:val="605e5c"/>
      <w:shd w:color="auto" w:fill="e1dfdd" w:val="clear"/>
    </w:rPr>
  </w:style>
  <w:style w:type="paragraph" w:styleId="Soggettocommento">
    <w:name w:val="annotation subject"/>
    <w:basedOn w:val="Testocommento"/>
    <w:next w:val="Testocommento"/>
    <w:link w:val="SoggettocommentoCarattere"/>
    <w:uiPriority w:val="99"/>
    <w:semiHidden w:val="1"/>
    <w:unhideWhenUsed w:val="1"/>
    <w:rsid w:val="00472D75"/>
    <w:pPr>
      <w:spacing w:after="160"/>
    </w:pPr>
    <w:rPr>
      <w:rFonts w:asciiTheme="minorHAnsi" w:cstheme="minorBidi" w:eastAsiaTheme="minorHAnsi" w:hAnsiTheme="minorHAnsi"/>
      <w:b w:val="1"/>
      <w:bCs w:val="1"/>
      <w:lang w:eastAsia="en-US"/>
    </w:rPr>
  </w:style>
  <w:style w:type="character" w:styleId="SoggettocommentoCarattere" w:customStyle="1">
    <w:name w:val="Soggetto commento Carattere"/>
    <w:basedOn w:val="TestocommentoCarattere"/>
    <w:link w:val="Soggettocommento"/>
    <w:uiPriority w:val="99"/>
    <w:semiHidden w:val="1"/>
    <w:rsid w:val="00472D75"/>
    <w:rPr>
      <w:rFonts w:ascii="Times New Roman" w:cs="Times New Roman" w:eastAsia="Times New Roman" w:hAnsi="Times New Roman"/>
      <w:b w:val="1"/>
      <w:bCs w:val="1"/>
      <w:sz w:val="20"/>
      <w:szCs w:val="20"/>
      <w:lang w:eastAsia="it-IT"/>
    </w:rPr>
  </w:style>
  <w:style w:type="character" w:styleId="s2" w:customStyle="1">
    <w:name w:val="s2"/>
    <w:basedOn w:val="Carpredefinitoparagrafo"/>
    <w:rsid w:val="00327765"/>
  </w:style>
  <w:style w:type="character" w:styleId="Titolo5Carattere" w:customStyle="1">
    <w:name w:val="Titolo 5 Carattere"/>
    <w:basedOn w:val="Carpredefinitoparagrafo"/>
    <w:link w:val="Titolo5"/>
    <w:uiPriority w:val="9"/>
    <w:semiHidden w:val="1"/>
    <w:rsid w:val="008D09C2"/>
    <w:rPr>
      <w:rFonts w:asciiTheme="majorHAnsi" w:cstheme="majorBidi" w:eastAsiaTheme="majorEastAsia" w:hAnsiTheme="majorHAnsi"/>
      <w:color w:val="2f5496" w:themeColor="accent1" w:themeShade="0000BF"/>
    </w:rPr>
  </w:style>
  <w:style w:type="paragraph" w:styleId="BodyTextIndent21" w:customStyle="1">
    <w:name w:val="Body Text Indent 21"/>
    <w:basedOn w:val="Normale"/>
    <w:rsid w:val="006B0A7A"/>
    <w:pPr>
      <w:overflowPunct w:val="0"/>
      <w:autoSpaceDE w:val="0"/>
      <w:autoSpaceDN w:val="0"/>
      <w:adjustRightInd w:val="0"/>
      <w:spacing w:after="0" w:line="360" w:lineRule="auto"/>
      <w:ind w:left="284"/>
      <w:jc w:val="both"/>
      <w:textAlignment w:val="baseline"/>
    </w:pPr>
    <w:rPr>
      <w:rFonts w:ascii="Arial" w:cs="Times New Roman" w:eastAsia="Times New Roman" w:hAnsi="Arial"/>
      <w:b w:val="1"/>
      <w:szCs w:val="20"/>
      <w:u w:val="single"/>
    </w:rPr>
  </w:style>
  <w:style w:type="paragraph" w:styleId="NormaleWeb">
    <w:name w:val="Normal (Web)"/>
    <w:uiPriority w:val="99"/>
    <w:rsid w:val="00064314"/>
    <w:pPr>
      <w:pBdr>
        <w:top w:space="0" w:sz="0" w:val="nil"/>
        <w:left w:space="0" w:sz="0" w:val="nil"/>
        <w:bottom w:space="0" w:sz="0" w:val="nil"/>
        <w:right w:space="0" w:sz="0" w:val="nil"/>
        <w:between w:space="0" w:sz="0" w:val="nil"/>
        <w:bar w:space="0" w:sz="0" w:val="nil"/>
      </w:pBdr>
      <w:spacing w:after="100" w:before="100" w:line="240" w:lineRule="auto"/>
    </w:pPr>
    <w:rPr>
      <w:rFonts w:ascii="Times New Roman" w:cs="Arial Unicode MS" w:eastAsia="Arial Unicode MS" w:hAnsi="Times New Roman"/>
      <w:color w:val="000000"/>
      <w:sz w:val="24"/>
      <w:szCs w:val="24"/>
      <w:u w:color="000000"/>
      <w:bdr w:space="0" w:sz="0" w:val="nil"/>
    </w:rPr>
  </w:style>
  <w:style w:type="table" w:styleId="TableNormal1" w:customStyle="1">
    <w:name w:val="Table Normal1"/>
    <w:uiPriority w:val="2"/>
    <w:semiHidden w:val="1"/>
    <w:unhideWhenUsed w:val="1"/>
    <w:qFormat w:val="1"/>
    <w:rsid w:val="007D49FB"/>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TableParagraph" w:customStyle="1">
    <w:name w:val="Table Paragraph"/>
    <w:basedOn w:val="Normale"/>
    <w:uiPriority w:val="1"/>
    <w:qFormat w:val="1"/>
    <w:rsid w:val="007D49FB"/>
    <w:pPr>
      <w:widowControl w:val="0"/>
      <w:autoSpaceDE w:val="0"/>
      <w:autoSpaceDN w:val="0"/>
      <w:spacing w:after="0" w:before="1" w:line="240" w:lineRule="auto"/>
      <w:ind w:left="107"/>
    </w:pPr>
    <w:rPr>
      <w:rFonts w:ascii="Times New Roman" w:cs="Times New Roman" w:eastAsia="Times New Roman" w:hAnsi="Times New Roman"/>
      <w:lang w:bidi="it-IT"/>
    </w:rPr>
  </w:style>
  <w:style w:type="character" w:styleId="Titolo2Carattere" w:customStyle="1">
    <w:name w:val="Titolo 2 Carattere"/>
    <w:basedOn w:val="Carpredefinitoparagrafo"/>
    <w:link w:val="Titolo2"/>
    <w:uiPriority w:val="9"/>
    <w:semiHidden w:val="1"/>
    <w:rsid w:val="00890868"/>
    <w:rPr>
      <w:rFonts w:asciiTheme="majorHAnsi" w:cstheme="majorBidi" w:eastAsiaTheme="majorEastAsia" w:hAnsiTheme="majorHAnsi"/>
      <w:color w:val="2f5496" w:themeColor="accent1" w:themeShade="0000BF"/>
      <w:sz w:val="26"/>
      <w:szCs w:val="26"/>
    </w:rPr>
  </w:style>
  <w:style w:type="character" w:styleId="Titolo3Carattere" w:customStyle="1">
    <w:name w:val="Titolo 3 Carattere"/>
    <w:basedOn w:val="Carpredefinitoparagrafo"/>
    <w:link w:val="Titolo3"/>
    <w:uiPriority w:val="9"/>
    <w:semiHidden w:val="1"/>
    <w:rsid w:val="00942978"/>
    <w:rPr>
      <w:rFonts w:asciiTheme="majorHAnsi" w:cstheme="majorBidi" w:eastAsiaTheme="majorEastAsia" w:hAnsiTheme="majorHAnsi"/>
      <w:color w:val="1f3763" w:themeColor="accent1" w:themeShade="00007F"/>
      <w:sz w:val="24"/>
      <w:szCs w:val="24"/>
    </w:rPr>
  </w:style>
  <w:style w:type="paragraph" w:styleId="Testofumetto">
    <w:name w:val="Balloon Text"/>
    <w:basedOn w:val="Normale"/>
    <w:link w:val="TestofumettoCarattere"/>
    <w:uiPriority w:val="99"/>
    <w:semiHidden w:val="1"/>
    <w:unhideWhenUsed w:val="1"/>
    <w:rsid w:val="002258CD"/>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258CD"/>
    <w:rPr>
      <w:rFonts w:ascii="Segoe UI" w:cs="Segoe UI" w:hAnsi="Segoe UI"/>
      <w:sz w:val="18"/>
      <w:szCs w:val="18"/>
    </w:rPr>
  </w:style>
  <w:style w:type="character" w:styleId="ui-provider" w:customStyle="1">
    <w:name w:val="ui-provider"/>
    <w:basedOn w:val="Carpredefinitoparagrafo"/>
    <w:rsid w:val="000F542D"/>
  </w:style>
  <w:style w:type="paragraph" w:styleId="Articolo" w:customStyle="1">
    <w:name w:val="Articolo"/>
    <w:basedOn w:val="Normale"/>
    <w:link w:val="ArticoloCarattere"/>
    <w:qFormat w:val="1"/>
    <w:rsid w:val="000F542D"/>
    <w:pPr>
      <w:spacing w:after="120" w:line="240" w:lineRule="auto"/>
      <w:contextualSpacing w:val="1"/>
      <w:jc w:val="center"/>
      <w:textAlignment w:val="center"/>
    </w:pPr>
    <w:rPr>
      <w:rFonts w:eastAsia="Times New Roman"/>
      <w:b w:val="1"/>
      <w:bCs w:val="1"/>
    </w:rPr>
  </w:style>
  <w:style w:type="character" w:styleId="ArticoloCarattere" w:customStyle="1">
    <w:name w:val="Articolo Carattere"/>
    <w:basedOn w:val="Carpredefinitoparagrafo"/>
    <w:link w:val="Articolo"/>
    <w:rsid w:val="000F542D"/>
    <w:rPr>
      <w:rFonts w:ascii="Calibri" w:cs="Calibri" w:eastAsia="Times New Roman" w:hAnsi="Calibri"/>
      <w:b w:val="1"/>
      <w:bCs w:val="1"/>
      <w:lang w:eastAsia="it-IT"/>
    </w:rPr>
  </w:style>
  <w:style w:type="character" w:styleId="Enfasigrassetto">
    <w:name w:val="Strong"/>
    <w:basedOn w:val="Carpredefinitoparagrafo"/>
    <w:uiPriority w:val="22"/>
    <w:qFormat w:val="1"/>
    <w:rsid w:val="000F542D"/>
    <w:rPr>
      <w:b w:val="1"/>
      <w:bCs w:val="1"/>
    </w:rPr>
  </w:style>
  <w:style w:type="paragraph" w:styleId="Revisione">
    <w:name w:val="Revision"/>
    <w:hidden w:val="1"/>
    <w:uiPriority w:val="99"/>
    <w:semiHidden w:val="1"/>
    <w:rsid w:val="002E0201"/>
    <w:pPr>
      <w:spacing w:after="0" w:line="240" w:lineRule="auto"/>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val="1"/>
    <w:rsid w:val="00546D7E"/>
  </w:style>
  <w:style w:type="paragraph" w:styleId="WW-Testonormale" w:customStyle="1">
    <w:name w:val="WW-Testo normale"/>
    <w:basedOn w:val="Normale"/>
    <w:uiPriority w:val="99"/>
    <w:rsid w:val="00EA23D8"/>
    <w:pPr>
      <w:suppressAutoHyphens w:val="1"/>
      <w:spacing w:after="0" w:line="240" w:lineRule="auto"/>
    </w:pPr>
    <w:rPr>
      <w:rFonts w:ascii="Courier New" w:cs="Courier New" w:eastAsia="Times New Roman" w:hAnsi="Courier New"/>
      <w:sz w:val="20"/>
      <w:szCs w:val="20"/>
    </w:rPr>
  </w:style>
  <w:style w:type="paragraph" w:styleId="Nessunaspaziatura">
    <w:name w:val="No Spacing"/>
    <w:uiPriority w:val="1"/>
    <w:qFormat w:val="1"/>
    <w:rsid w:val="007C7480"/>
    <w:pPr>
      <w:widowControl w:val="0"/>
      <w:autoSpaceDE w:val="0"/>
      <w:autoSpaceDN w:val="0"/>
      <w:spacing w:after="0" w:line="240" w:lineRule="auto"/>
    </w:pPr>
    <w:rPr>
      <w:lang w:bidi="it-IT"/>
    </w:rPr>
  </w:style>
  <w:style w:type="paragraph" w:styleId="Paragrafoelenco1" w:customStyle="1">
    <w:name w:val="Paragrafo elenco1"/>
    <w:basedOn w:val="Normale"/>
    <w:rsid w:val="008C62C2"/>
    <w:pPr>
      <w:suppressAutoHyphens w:val="1"/>
      <w:spacing w:after="200" w:line="276" w:lineRule="auto"/>
      <w:ind w:left="720"/>
      <w:contextualSpacing w:val="1"/>
    </w:pPr>
    <w:rPr>
      <w:rFonts w:cs="Times New Roman"/>
    </w:rPr>
  </w:style>
  <w:style w:type="paragraph" w:styleId="Sottotitolo">
    <w:name w:val="Subtitle"/>
    <w:basedOn w:val="normal"/>
    <w:next w:val="normal"/>
    <w:rsid w:val="004A5A46"/>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4A5A46"/>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
    <w:rsid w:val="004A5A46"/>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dWbs/cd5QY60kNpfA99DzpiiQ==">CgMxLjAyDmguMWR4MjE1eXpxdmEyMgloLjMwajB6bGwyCWguMWZvYjl0ZTIJaC4zem55c2g3OAByITFYLXRDNHRrM3pTMHdSazdoOTVPcXNSUFk5NnJXQ0FKdQ==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2023-05-14T16:37:00Z</dcterms:created>
</cp:coreProperties>
</file>