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SITUAZIONE OCCUPAZIONALE 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D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RELAZIONE ALLA DICHIARAZIONE SITUAZIONE OCCUPAZIONALE (ai sensi dell’art. 47 della legge 108/2021) E agli obblighi di cui all’art. 46 della L. 198/2006</w:t>
      </w:r>
    </w:p>
    <w:p w:rsidR="00000000" w:rsidDel="00000000" w:rsidP="00000000" w:rsidRDefault="00000000" w:rsidRPr="00000000" w14:paraId="00000012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che l’impresa 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meno di 15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di non essere soggetto alla redazione del rapporto di cui all’articolo 46 della legge 198/2006, a tal fine dichiara che il numero dei dipendenti è il seguente………………………..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14 ma meno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pertanto allega copia dell’ultimo rapporto redatto ai sensi dell’articolo 46 della legge 198/2006 con attestazione della sua conformità a quello trasmesso alle rappresentanze sindacali e ai consiglieri delle pari opportunità.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Contratto collettivo nazionale di settore applicato ai dipendenti è il seguente: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scrivente si impegna ad assicurare, in caso di aggiudicazione del contratto, una quota pari almeno al 30 per cento, delle assunzioni necessarie per l'esecuzione del contratto o per la realizzazione di attività ad esso connesse o strumentali, sia all'occupazione giovanile sia all'occupazione femminile (articolo 47, comma 4, D.L. 77/2021)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ss.mm.ii)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119820" cy="10922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6H3F8oc648TlWgbMfX4HZh8SWA==">CgMxLjAyCGguZ2pkZ3hzOAByITE0anNJTFpxT20zQjJxTnNoWXhiRnNTUFFkVXY5Mk9BUg==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2023-05-20T16:21:00Z</dcterms:created>
</cp:coreProperties>
</file>