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SITUAZIONE OCCUPAZIONALE  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 LABS –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RELAZIONE ALLA DICHIARAZIONE SITUAZIONE OCCUPAZIONALE (ai sensi dell’art. 47 della legge 108/2021) E agli obblighi di cui all’art. 46 della L. 198/2006</w:t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che l’impresa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meno di 15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essere soggetto alla redazione del rapporto di cui all’articolo 46 della legge 198/2006, a tal fine dichiara che il numero dei dipendenti è il seguente………………………..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14 ma meno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 di non essere soggetto alla redazione del rapporto di cui all’articolo 46 della legge 198/2006, ma di impegnarsi a produrre entro 6 mesi dalla stipula del contratto una relazione dettagliata sullo stato occupazionale così come previsto dal comma 3 dell’art. 47 della legge 108/2021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pertanto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Contratto collettivo nazionale di settore applicato ai dipendenti è il seguente: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ss.mm.ii)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pCeFrMa41qoMKVH1FSwtcuCPg==">CgMxLjAyCGguZ2pkZ3hzOAByITFTX1lsV0dqSTVHeFFKQnNObHh0T2g5YnlzYzZmTEUtdw==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2023-05-20T16:21:00Z</dcterms:created>
</cp:coreProperties>
</file>