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62821" cy="1100709"/>
            <wp:effectExtent b="0" l="0" r="0" t="0"/>
            <wp:docPr descr="Immagine che contiene testo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821" cy="1100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76" w:lineRule="auto"/>
        <w:ind w:left="1276" w:hanging="1276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OGGETTO: </w:t>
        <w:tab/>
        <w:t xml:space="preserve">Piano Nazionale Di Ripresa E Resilienza - Missione 4: Istruzione e Ricerca - Componente 1 – Potenziamento dell’offerta dei servizi di istruzione: dagli asili nido alle Università Investimento 3.1: Nuove competenze e nuovi linguaggi. Azioni di potenziamento delle competenze STEM e multilinguistiche – Assunzione incarico RUP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2"/>
          <w:szCs w:val="22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2"/>
          <w:szCs w:val="22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Decreto Legislativo 30 marzo 2001, n. 165 recante "Norme generali sull'ordinamento del lavoro alle dipendenze della Amministrazioni Pubbliche" e ss.mm.ii.;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DPR 275/99, concernente norme in materia di autonomia delle istituzioni scolastiche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decreto del Presidente del Consiglio dei ministri del 30 settembre 2020 n. 166, recante “Regolamento concernente l’organizzazione del Ministero dell’Istruzione”;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shd w:fill="auto" w:val="clear"/>
          <w:rtl w:val="0"/>
        </w:rPr>
        <w:t xml:space="preserve">VISTA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la circolare della Funzione Pubblica n.2/2008;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la circolare n° 2 del 2 febbraio 2009 del Ministero del Lavoro che regolamenta i compensi, gli aspetti  fiscali e contributivi per gli incarichi ed impieghi nella P.A.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Decreto Interministeriale 129/2018, concernente “Regolamento concernente le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Istruzioni generali sulla gestione amministrativo-contabile delle istituzioni scolastiche";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regolamento (UE) 12 febbraio 2021, n. 2021/241, che istituisce il dispositivo per la ripresa e la resilienza;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regolamento (UE) 2021/1060 del Parlamento europeo e del Consiglio del 24 giugno 2021;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regolamento delegato (UE) 2021/2105 della Commissione del 28 settembre 2021, che integra il regolamento (UE)2021/241 del Parlamento europeo e del Consiglio, che istituisce il dispositivo per la ripresa e la resilienza, definendo una metodologia per la rendicontazione della spesa sociale;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Investimento 3.1: Nuove competenze e nuovi linguaggi. Azioni di potenziamento delle competenze STEM e multilinguistiche”;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Decreto del Ministro dell’istruzione Decreto di riparto delle risorse alle istituzioni scolastiche in attuazione della linea di investimento  3.1 “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” nell’ambito della Missione 4 – Istruzione e Ricerca – Componente 1 – “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2"/>
          <w:szCs w:val="22"/>
          <w:rtl w:val="0"/>
        </w:rPr>
        <w:t xml:space="preserve">Potenziamento dell’offerta dei servizi all’istruzione: dagli asili nido all’Università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” del Piano nazionale di ripresa e resilienza finanziato dall’Unione europea –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”;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le istruzioni operative dell’Unità di missione per il PNRR del Ministero dell’istruzione e del merito prot. n. 132935 del 15 novembre 2023;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  <w:tab/>
        <w:t xml:space="preserve">l’atto di concessione prot. n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highlight w:val="yellow"/>
          <w:rtl w:val="0"/>
        </w:rPr>
        <w:t xml:space="preserve">°______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highlight w:val="yellow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che costituisce formale autorizzazione all’avvio del progetto e contestuale autorizzazione alla spesa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l’Art. 5 della Legge 7 agosto 1990, n. 241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  <w:tab/>
        <w:t xml:space="preserve">L’art. 15 del D.lgs. n. 36/2023 e ss. mm. ii.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RITENUTO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avere le competenze necessarie allo svolgimento dell’incarico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2"/>
          <w:szCs w:val="22"/>
          <w:rtl w:val="0"/>
        </w:rPr>
        <w:t xml:space="preserve">tutto ciò visto, ritenuto e rilevato, che costituisce parte integrante del presente decreto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b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2"/>
          <w:szCs w:val="22"/>
          <w:rtl w:val="0"/>
        </w:rPr>
        <w:t xml:space="preserve">DECRETA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 assumere l’incarico di Responsabile Unico del progetto ai sensi dell’art. 5 della Legge 241/1990 e dell’art. 15 del D. Lgs. 36/2023. L’incarico avrà durata dalla data del presente decreto fino al termine delle operazioni del progetto, ivi incluso rendicontazione ed eventuali controlli. I compiti da svolgere sono quelli stabiliti dalle circolari ministeriali richiamate in premessa.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b w:val="1"/>
          <w:i w:val="1"/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……………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FIRMATO DIGITALMENTE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851" w:top="568" w:left="992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6"/>
      <w:szCs w:val="3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smallCaps w:val="0"/>
      <w:sz w:val="32"/>
      <w:szCs w:val="32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