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62821" cy="1265815"/>
            <wp:effectExtent b="0" l="0" r="0" t="0"/>
            <wp:docPr descr="Immagine che contiene testo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821" cy="1265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76" w:lineRule="auto"/>
        <w:ind w:left="1276" w:hanging="1276"/>
        <w:jc w:val="both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OGGETTO: </w:t>
        <w:tab/>
        <w:t xml:space="preserve">Piano Nazionale di Ripresa e Resilienza - MISSIONE 4 – ISTRUZIONE e RICERCA – Componente 1 – Potenziamento dell’offerta dei servizi di istruzione: dagli asili nido alle Università. Investimento 2.1: Didattica digitale integrata e formazione alla transizione digitale del personale scolastico - Formazione del personale scolastico per la transizione digitale (D.M. 66/2023) – Assunzione incarico RUP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2"/>
          <w:szCs w:val="22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360" w:lineRule="auto"/>
        <w:ind w:right="284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2"/>
          <w:szCs w:val="22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Decreto Legislativo 30 marzo 2001, n. 165 recante "Norme generali sull'ordinamento del lavoro alle dipendenze della Amministrazioni Pubbliche" e ss.mm.ii.;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DPR 275/99, concernente norme in materia di autonomia delle istituzioni scolastiche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il decreto del Presidente del Consiglio dei ministri del 30 settembre 2020 n. 166, recante “Regolamento concernente l’organizzazione del Ministero dell’Istruzione”;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shd w:fill="auto" w:val="clear"/>
          <w:rtl w:val="0"/>
        </w:rPr>
        <w:t xml:space="preserve">VISTA</w:t>
        <w:tab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la circolare della Funzione Pubblica n.2/2008;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la circolare n° 2 del 2 febbraio 2009 del Ministero del Lavoro che regolamenta i compensi, gli aspetti  fiscali e contributivi per gli incarichi ed impieghi nella P.A.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il Decreto Interministeriale 129/2018, concernente “Regolamento concernente le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ab/>
        <w:t xml:space="preserve">Istruzioni generali sulla gestione amministrativo-contabile delle istituzioni scolastiche";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regolamento (UE) 12 febbraio 2021, n. 2021/241, che istituisce il dispositivo per la ripresa e la resilienza;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il Decreto del Ministro dell’Istruzione e del Merito del 12 aprile 2023 n. 66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l’accordo di concessione prot. AOOGABMI/……. del ……………………. tra il Ministero dell’Istruzione e del Merito e l’Istituzione Scolastica NOME_SCUOLA per la regolamentazione dei rapporti di attuazione, gestione e controllo relativi al progetto “TITOLO PROGETTO ……………………”, CUP ……………………., identificativo progetto ……………………. finanziato nell’ambito del decreto del Ministro dell’istruzione 66/2023 Missione 4 – Istruzione e Ricerca –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 che costituisce formale autorizzazione all’avvio del progetto e contestuale autorizzazione alla spesa;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le istruzioni operative dell’Unità di missione per il PNRR del Ministero dell’istruzione e del merito prot. n. 141549del 07/12/2023 per l’attuazione PIANO NAZIONALE DI RIPRESA E RESILIENZA MISSIONE 4: ISTRUZIONE E RICERCA Componente 1 –Potenziamento dell’offerta dei servizi di istruzione: dagli asili nido alle Università Investimento 2.1: Didattica digitale integrata e formazione alla transizione digitale per il personale scolastico Formazione del personale scolastico per la transizione digitale(D.M. 66/2023);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</w:t>
        <w:tab/>
        <w:t xml:space="preserve">l’Art. 5 della Legge 7 agosto 1990, n. 241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VISTO </w:t>
        <w:tab/>
        <w:t xml:space="preserve">L’art. 15 del D.lgs. n. 36/2023 e ss. mm. ii.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RITENUTO avere le competenze necessarie allo svolgimento dell’incarico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i w:val="1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2"/>
          <w:szCs w:val="22"/>
          <w:rtl w:val="0"/>
        </w:rPr>
        <w:t xml:space="preserve">tutto ciò visto, ritenuto e rilevato, che costituisce parte integrante del presente decreto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i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DECRETA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line="36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 assumere l’incarico di Responsabile Unico del progetto ai sensi dell’art. 5 della Legge 241/1990 e dell’art. 15 del D. Lgs. 36/2023. L’incarico avrà durata dalla data del presente decreto fino al termine delle operazioni del progetto, ivi incluso rendicontazione ed eventuali controlli. I compiti da svolgere sono quelli stabiliti dalle circolari ministeriali richiamate in premessa.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rFonts w:ascii="Calibri" w:cs="Calibri" w:eastAsia="Calibri" w:hAnsi="Calibri"/>
          <w:smallCaps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b w:val="1"/>
          <w:i w:val="1"/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……………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FIRMATO DIGITALMENTE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line="360" w:lineRule="auto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851" w:top="993" w:left="992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6"/>
      <w:szCs w:val="3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smallCaps w:val="0"/>
      <w:sz w:val="32"/>
      <w:szCs w:val="32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1133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